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0D3A8A">
        <w:rPr>
          <w:rFonts w:ascii="Arial" w:eastAsia="宋体" w:hAnsi="Arial" w:cs="Arial"/>
          <w:b/>
          <w:sz w:val="24"/>
          <w:lang w:val="en-GB" w:eastAsia="ko-KR"/>
        </w:rPr>
        <w:t>9</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EF53FC">
        <w:rPr>
          <w:rFonts w:ascii="Arial" w:eastAsia="宋体" w:hAnsi="Arial" w:cs="Arial"/>
          <w:b/>
          <w:sz w:val="24"/>
          <w:lang w:val="en-GB" w:eastAsia="ko-KR"/>
        </w:rPr>
        <w:t>3</w:t>
      </w:r>
      <w:r w:rsidR="00907687">
        <w:rPr>
          <w:rFonts w:ascii="Arial" w:eastAsia="宋体" w:hAnsi="Arial" w:cs="Arial"/>
          <w:b/>
          <w:sz w:val="24"/>
          <w:lang w:val="en-GB" w:eastAsia="ko-KR"/>
        </w:rPr>
        <w:t>1</w:t>
      </w:r>
      <w:r w:rsidR="002E2E0A">
        <w:rPr>
          <w:rFonts w:ascii="Arial" w:eastAsia="宋体" w:hAnsi="Arial" w:cs="Arial"/>
          <w:b/>
          <w:sz w:val="24"/>
          <w:lang w:val="en-GB"/>
        </w:rPr>
        <w:t>8842</w:t>
      </w:r>
    </w:p>
    <w:p w:rsidR="00A44F96" w:rsidRPr="00B40311" w:rsidRDefault="000D3A8A"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Chicago</w:t>
      </w:r>
      <w:r w:rsidR="00F148D7">
        <w:rPr>
          <w:rFonts w:ascii="Arial" w:eastAsia="宋体" w:hAnsi="Arial" w:cs="Arial"/>
          <w:b/>
          <w:sz w:val="24"/>
          <w:lang w:val="en-GB" w:eastAsia="ko-KR"/>
        </w:rPr>
        <w:t xml:space="preserve">, </w:t>
      </w:r>
      <w:r>
        <w:rPr>
          <w:rFonts w:ascii="Arial" w:eastAsia="宋体" w:hAnsi="Arial" w:cs="Arial"/>
          <w:b/>
          <w:sz w:val="24"/>
          <w:lang w:val="en-GB" w:eastAsia="ko-KR"/>
        </w:rPr>
        <w:t>United States</w:t>
      </w:r>
      <w:r w:rsidR="00F148D7">
        <w:rPr>
          <w:rFonts w:ascii="Arial" w:eastAsia="宋体" w:hAnsi="Arial" w:cs="Arial"/>
          <w:b/>
          <w:sz w:val="24"/>
          <w:lang w:val="en-GB" w:eastAsia="ko-KR"/>
        </w:rPr>
        <w:t>,</w:t>
      </w:r>
      <w:r w:rsidR="00F148D7" w:rsidRPr="00902E98">
        <w:rPr>
          <w:rFonts w:ascii="Arial" w:eastAsia="宋体" w:hAnsi="Arial" w:cs="Arial"/>
          <w:b/>
          <w:sz w:val="24"/>
          <w:lang w:val="en-GB" w:eastAsia="ko-KR"/>
        </w:rPr>
        <w:t xml:space="preserve"> </w:t>
      </w:r>
      <w:r>
        <w:rPr>
          <w:rFonts w:ascii="Arial" w:eastAsia="宋体" w:hAnsi="Arial" w:cs="Arial"/>
          <w:b/>
          <w:sz w:val="24"/>
          <w:lang w:val="en-GB" w:eastAsia="ko-KR"/>
        </w:rPr>
        <w:t>13</w:t>
      </w:r>
      <w:r w:rsidR="00F148D7">
        <w:rPr>
          <w:rFonts w:ascii="Arial" w:eastAsia="宋体" w:hAnsi="Arial" w:cs="Arial"/>
          <w:b/>
          <w:sz w:val="24"/>
          <w:vertAlign w:val="superscript"/>
          <w:lang w:val="en-GB" w:eastAsia="ko-KR"/>
        </w:rPr>
        <w:t>th</w:t>
      </w:r>
      <w:r w:rsidR="00F148D7" w:rsidRPr="00902E98">
        <w:rPr>
          <w:rFonts w:ascii="Arial" w:eastAsia="宋体" w:hAnsi="Arial" w:cs="Arial"/>
          <w:b/>
          <w:sz w:val="24"/>
          <w:lang w:val="en-GB" w:eastAsia="ko-KR"/>
        </w:rPr>
        <w:t xml:space="preserve"> </w:t>
      </w:r>
      <w:r>
        <w:rPr>
          <w:rFonts w:ascii="Arial" w:eastAsia="宋体" w:hAnsi="Arial" w:cs="Arial"/>
          <w:b/>
          <w:sz w:val="24"/>
          <w:lang w:val="en-GB" w:eastAsia="ko-KR"/>
        </w:rPr>
        <w:t>Nov</w:t>
      </w:r>
      <w:r w:rsidR="00F148D7">
        <w:rPr>
          <w:rFonts w:ascii="Arial" w:eastAsia="宋体" w:hAnsi="Arial" w:cs="Arial"/>
          <w:b/>
          <w:sz w:val="24"/>
          <w:lang w:val="en-GB" w:eastAsia="ko-KR"/>
        </w:rPr>
        <w:t xml:space="preserve">. </w:t>
      </w:r>
      <w:r w:rsidR="00F148D7" w:rsidRPr="00902E98">
        <w:rPr>
          <w:rFonts w:ascii="Arial" w:eastAsia="宋体" w:hAnsi="Arial" w:cs="Arial"/>
          <w:b/>
          <w:sz w:val="24"/>
          <w:lang w:val="en-GB" w:eastAsia="ko-KR"/>
        </w:rPr>
        <w:t xml:space="preserve">– </w:t>
      </w:r>
      <w:r w:rsidR="00F148D7">
        <w:rPr>
          <w:rFonts w:ascii="Arial" w:eastAsia="宋体" w:hAnsi="Arial" w:cs="Arial"/>
          <w:b/>
          <w:sz w:val="24"/>
          <w:lang w:val="en-GB" w:eastAsia="ko-KR"/>
        </w:rPr>
        <w:t>1</w:t>
      </w:r>
      <w:r>
        <w:rPr>
          <w:rFonts w:ascii="Arial" w:eastAsia="宋体" w:hAnsi="Arial" w:cs="Arial"/>
          <w:b/>
          <w:sz w:val="24"/>
          <w:lang w:val="en-GB" w:eastAsia="ko-KR"/>
        </w:rPr>
        <w:t>7</w:t>
      </w:r>
      <w:r w:rsidR="00F148D7">
        <w:rPr>
          <w:rFonts w:ascii="Arial" w:eastAsia="宋体" w:hAnsi="Arial" w:cs="Arial"/>
          <w:b/>
          <w:sz w:val="24"/>
          <w:vertAlign w:val="superscript"/>
          <w:lang w:val="en-GB" w:eastAsia="ko-KR"/>
        </w:rPr>
        <w:t>th</w:t>
      </w:r>
      <w:r w:rsidR="00F148D7" w:rsidRPr="00902E98">
        <w:rPr>
          <w:rFonts w:ascii="Arial" w:eastAsia="宋体" w:hAnsi="Arial" w:cs="Arial"/>
          <w:b/>
          <w:sz w:val="24"/>
          <w:lang w:val="en-GB" w:eastAsia="ko-KR"/>
        </w:rPr>
        <w:t xml:space="preserve"> </w:t>
      </w:r>
      <w:r>
        <w:rPr>
          <w:rFonts w:ascii="Arial" w:eastAsia="宋体" w:hAnsi="Arial" w:cs="Arial"/>
          <w:b/>
          <w:sz w:val="24"/>
          <w:lang w:val="en-GB"/>
        </w:rPr>
        <w:t>Nov</w:t>
      </w:r>
      <w:r w:rsidR="00F148D7">
        <w:rPr>
          <w:rFonts w:ascii="Arial" w:eastAsia="宋体" w:hAnsi="Arial" w:cs="Arial"/>
          <w:b/>
          <w:sz w:val="24"/>
          <w:lang w:val="en-GB"/>
        </w:rPr>
        <w:t>.</w:t>
      </w:r>
      <w:r w:rsidR="00F148D7" w:rsidRPr="00902E98">
        <w:rPr>
          <w:rFonts w:ascii="Arial" w:eastAsia="宋体" w:hAnsi="Arial" w:cs="Arial"/>
          <w:b/>
          <w:sz w:val="24"/>
          <w:lang w:val="en-GB" w:eastAsia="ko-KR"/>
        </w:rPr>
        <w:t>,</w:t>
      </w:r>
      <w:r w:rsidR="00F148D7" w:rsidRPr="00902E98">
        <w:rPr>
          <w:rFonts w:ascii="Arial" w:eastAsia="宋体" w:hAnsi="Arial" w:cs="Arial" w:hint="eastAsia"/>
          <w:b/>
          <w:sz w:val="24"/>
          <w:lang w:val="en-GB" w:eastAsia="ko-KR"/>
        </w:rPr>
        <w:t xml:space="preserve"> 20</w:t>
      </w:r>
      <w:r w:rsidR="00F148D7" w:rsidRPr="00902E98">
        <w:rPr>
          <w:rFonts w:ascii="Arial" w:eastAsia="宋体" w:hAnsi="Arial" w:cs="Arial"/>
          <w:b/>
          <w:sz w:val="24"/>
          <w:lang w:val="en-GB" w:eastAsia="ko-KR"/>
        </w:rPr>
        <w:t>2</w:t>
      </w:r>
      <w:r w:rsidR="00F148D7">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F977A9">
        <w:rPr>
          <w:rFonts w:ascii="Arial" w:eastAsia="宋体" w:hAnsi="Arial" w:cs="Arial"/>
          <w:b/>
          <w:sz w:val="24"/>
          <w:lang w:val="en-GB" w:eastAsia="ko-KR"/>
        </w:rPr>
        <w:t xml:space="preserve">L1-RSRP measurement requirements for </w:t>
      </w:r>
      <w:r w:rsidR="00D17B1A">
        <w:rPr>
          <w:rFonts w:ascii="Arial" w:eastAsia="宋体" w:hAnsi="Arial" w:cs="Arial"/>
          <w:b/>
          <w:sz w:val="24"/>
          <w:lang w:val="en-GB" w:eastAsia="ko-KR"/>
        </w:rPr>
        <w:t>LTM</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2E2E0A" w:rsidRPr="002E2E0A">
        <w:rPr>
          <w:rFonts w:ascii="Arial" w:eastAsia="宋体" w:hAnsi="Arial" w:cs="Arial"/>
          <w:b/>
          <w:sz w:val="24"/>
          <w:lang w:val="en-GB"/>
        </w:rPr>
        <w:t>8</w:t>
      </w:r>
      <w:r w:rsidR="00907687" w:rsidRPr="002E2E0A">
        <w:rPr>
          <w:rFonts w:ascii="Arial" w:eastAsia="宋体" w:hAnsi="Arial" w:cs="Arial"/>
          <w:b/>
          <w:sz w:val="24"/>
          <w:lang w:val="en-GB"/>
        </w:rPr>
        <w:t>.24</w:t>
      </w:r>
      <w:r w:rsidR="00490DAA" w:rsidRPr="002E2E0A">
        <w:rPr>
          <w:rFonts w:ascii="Arial" w:eastAsia="宋体" w:hAnsi="Arial" w:cs="Arial"/>
          <w:b/>
          <w:sz w:val="24"/>
          <w:lang w:val="en-GB"/>
        </w:rPr>
        <w:t>.2.</w:t>
      </w:r>
      <w:r w:rsidR="003B0822" w:rsidRPr="002E2E0A">
        <w:rPr>
          <w:rFonts w:ascii="Arial" w:eastAsia="宋体" w:hAnsi="Arial" w:cs="Arial"/>
          <w:b/>
          <w:sz w:val="24"/>
          <w:lang w:val="en-GB"/>
        </w:rPr>
        <w:t>1.</w:t>
      </w:r>
      <w:r w:rsidR="00490DAA" w:rsidRPr="002E2E0A">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F148D7">
        <w:rPr>
          <w:rFonts w:ascii="Times New Roman" w:hAnsi="Times New Roman" w:cs="Times New Roman"/>
          <w:sz w:val="20"/>
          <w:szCs w:val="20"/>
        </w:rPr>
        <w:t>8</w:t>
      </w:r>
      <w:r w:rsidR="000D3A8A">
        <w:rPr>
          <w:rFonts w:ascii="Times New Roman" w:hAnsi="Times New Roman" w:cs="Times New Roman"/>
          <w:sz w:val="20"/>
          <w:szCs w:val="20"/>
        </w:rPr>
        <w:t>bis</w:t>
      </w:r>
      <w:r>
        <w:rPr>
          <w:rFonts w:ascii="Times New Roman" w:hAnsi="Times New Roman" w:cs="Times New Roman"/>
          <w:sz w:val="20"/>
          <w:szCs w:val="20"/>
        </w:rPr>
        <w:t xml:space="preserve">, </w:t>
      </w:r>
      <w:r w:rsidR="00C066E3">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5B1D7D">
        <w:rPr>
          <w:rFonts w:ascii="Times New Roman" w:hAnsi="Times New Roman" w:cs="Times New Roman"/>
          <w:sz w:val="20"/>
          <w:szCs w:val="20"/>
        </w:rPr>
        <w:t>L1-RSRP measurement requirement for LTM</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54874">
        <w:rPr>
          <w:rFonts w:ascii="Times New Roman" w:hAnsi="Times New Roman" w:cs="Times New Roman"/>
          <w:sz w:val="20"/>
          <w:szCs w:val="20"/>
        </w:rPr>
        <w:t>L1-RSRP measurement requirements for L</w:t>
      </w:r>
      <w:r w:rsidR="00C066E3">
        <w:rPr>
          <w:rFonts w:ascii="Times New Roman" w:hAnsi="Times New Roman" w:cs="Times New Roman"/>
          <w:sz w:val="20"/>
          <w:szCs w:val="20"/>
        </w:rPr>
        <w:t>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F46D95" w:rsidRPr="001F3955" w:rsidRDefault="000D163E" w:rsidP="001F3955">
      <w:pPr>
        <w:pStyle w:val="1"/>
        <w:numPr>
          <w:ilvl w:val="0"/>
          <w:numId w:val="2"/>
        </w:numPr>
        <w:spacing w:after="0"/>
        <w:ind w:left="0" w:firstLine="0"/>
        <w:rPr>
          <w:rFonts w:eastAsia="Times New Roman" w:cs="Times New Roman" w:hint="eastAsia"/>
          <w:color w:val="auto"/>
          <w:kern w:val="0"/>
        </w:rPr>
      </w:pPr>
      <w:r>
        <w:rPr>
          <w:rFonts w:eastAsia="Times New Roman" w:cs="Times New Roman"/>
          <w:color w:val="auto"/>
          <w:kern w:val="0"/>
        </w:rPr>
        <w:t>Discussion</w:t>
      </w:r>
    </w:p>
    <w:p w:rsidR="00F46D95" w:rsidRPr="00F46D95" w:rsidRDefault="00F46D95" w:rsidP="00090FEC">
      <w:pPr>
        <w:spacing w:after="180"/>
        <w:rPr>
          <w:rFonts w:ascii="Times New Roman" w:hAnsi="Times New Roman" w:cs="Times New Roman"/>
          <w:b/>
          <w:sz w:val="20"/>
          <w:szCs w:val="20"/>
          <w:u w:val="single"/>
        </w:rPr>
      </w:pPr>
      <w:r w:rsidRPr="00F46D95">
        <w:rPr>
          <w:rFonts w:ascii="Times New Roman" w:hAnsi="Times New Roman" w:cs="Times New Roman" w:hint="eastAsia"/>
          <w:b/>
          <w:sz w:val="20"/>
          <w:szCs w:val="20"/>
          <w:u w:val="single"/>
        </w:rPr>
        <w:t>C</w:t>
      </w:r>
      <w:r w:rsidRPr="00F46D95">
        <w:rPr>
          <w:rFonts w:ascii="Times New Roman" w:hAnsi="Times New Roman" w:cs="Times New Roman"/>
          <w:b/>
          <w:sz w:val="20"/>
          <w:szCs w:val="20"/>
          <w:u w:val="single"/>
        </w:rPr>
        <w:t>larification on UE capable of RTD&gt;CP and UE incapable of RTD&gt;CP</w:t>
      </w:r>
    </w:p>
    <w:p w:rsidR="007B6667" w:rsidRDefault="00F46D95" w:rsidP="00090FEC">
      <w:pPr>
        <w:spacing w:after="180"/>
        <w:rPr>
          <w:rFonts w:ascii="Times New Roman" w:hAnsi="Times New Roman" w:cs="Times New Roman"/>
          <w:sz w:val="20"/>
          <w:szCs w:val="20"/>
        </w:rPr>
      </w:pPr>
      <w:r>
        <w:rPr>
          <w:rFonts w:ascii="Times New Roman" w:hAnsi="Times New Roman" w:cs="Times New Roman"/>
          <w:sz w:val="20"/>
          <w:szCs w:val="20"/>
        </w:rPr>
        <w:t>According previous meeting, f</w:t>
      </w:r>
      <w:r w:rsidR="00090FEC">
        <w:rPr>
          <w:rFonts w:ascii="Times New Roman" w:hAnsi="Times New Roman" w:cs="Times New Roman"/>
          <w:sz w:val="20"/>
          <w:szCs w:val="20"/>
        </w:rPr>
        <w:t>or intra-frequency L1-RSRP measurement,</w:t>
      </w:r>
      <w:r w:rsidR="000946FA">
        <w:rPr>
          <w:rFonts w:ascii="Times New Roman" w:hAnsi="Times New Roman" w:cs="Times New Roman"/>
          <w:sz w:val="20"/>
          <w:szCs w:val="20"/>
        </w:rPr>
        <w:t xml:space="preserve"> </w:t>
      </w:r>
      <w:r w:rsidR="00D569C4">
        <w:rPr>
          <w:rFonts w:ascii="Times New Roman" w:hAnsi="Times New Roman" w:cs="Times New Roman"/>
          <w:sz w:val="20"/>
          <w:szCs w:val="20"/>
        </w:rPr>
        <w:t xml:space="preserve">it is RAN4’s common understanding that </w:t>
      </w:r>
      <w:r w:rsidR="000946FA">
        <w:rPr>
          <w:rFonts w:ascii="Times New Roman" w:hAnsi="Times New Roman" w:cs="Times New Roman"/>
          <w:sz w:val="20"/>
          <w:szCs w:val="20"/>
        </w:rPr>
        <w:t xml:space="preserve">if the UE </w:t>
      </w:r>
      <w:r w:rsidR="00B65FF1">
        <w:rPr>
          <w:rFonts w:ascii="Times New Roman" w:hAnsi="Times New Roman" w:cs="Times New Roman"/>
          <w:sz w:val="20"/>
          <w:szCs w:val="20"/>
        </w:rPr>
        <w:t>does</w:t>
      </w:r>
      <w:r w:rsidR="000946FA">
        <w:rPr>
          <w:rFonts w:ascii="Times New Roman" w:hAnsi="Times New Roman" w:cs="Times New Roman"/>
          <w:sz w:val="20"/>
          <w:szCs w:val="20"/>
        </w:rPr>
        <w:t xml:space="preserve"> not support the L1 measurement with RTD &gt; CP, </w:t>
      </w:r>
      <w:r w:rsidR="00D569C4">
        <w:rPr>
          <w:rFonts w:ascii="Times New Roman" w:hAnsi="Times New Roman" w:cs="Times New Roman"/>
          <w:sz w:val="20"/>
          <w:szCs w:val="20"/>
        </w:rPr>
        <w:t>o</w:t>
      </w:r>
      <w:r w:rsidR="00B65FF1">
        <w:rPr>
          <w:rFonts w:ascii="Times New Roman" w:hAnsi="Times New Roman" w:cs="Times New Roman"/>
          <w:sz w:val="20"/>
          <w:szCs w:val="20"/>
        </w:rPr>
        <w:t>ne single FFT module is assumed for intr</w:t>
      </w:r>
      <w:r w:rsidR="00D569C4">
        <w:rPr>
          <w:rFonts w:ascii="Times New Roman" w:hAnsi="Times New Roman" w:cs="Times New Roman"/>
          <w:sz w:val="20"/>
          <w:szCs w:val="20"/>
        </w:rPr>
        <w:t>a-frequency L1-RSRP measurement.</w:t>
      </w:r>
      <w:r>
        <w:rPr>
          <w:rFonts w:ascii="Times New Roman" w:hAnsi="Times New Roman" w:cs="Times New Roman"/>
          <w:sz w:val="20"/>
          <w:szCs w:val="20"/>
        </w:rPr>
        <w:t xml:space="preserve"> In our understanding, the assumption of single FFT module only applies to </w:t>
      </w:r>
      <w:r w:rsidR="00982553">
        <w:rPr>
          <w:rFonts w:ascii="Times New Roman" w:hAnsi="Times New Roman" w:cs="Times New Roman"/>
          <w:sz w:val="20"/>
          <w:szCs w:val="20"/>
        </w:rPr>
        <w:t>single</w:t>
      </w:r>
      <w:r>
        <w:rPr>
          <w:rFonts w:ascii="Times New Roman" w:hAnsi="Times New Roman" w:cs="Times New Roman"/>
          <w:sz w:val="20"/>
          <w:szCs w:val="20"/>
        </w:rPr>
        <w:t xml:space="preserve"> intra-frequency </w:t>
      </w:r>
      <w:r w:rsidR="00982553">
        <w:rPr>
          <w:rFonts w:ascii="Times New Roman" w:hAnsi="Times New Roman" w:cs="Times New Roman"/>
          <w:sz w:val="20"/>
          <w:szCs w:val="20"/>
        </w:rPr>
        <w:t xml:space="preserve">layer case. For NR CA scenario and NR-DC scenario, </w:t>
      </w:r>
      <w:r w:rsidR="001F0F0B">
        <w:rPr>
          <w:rFonts w:ascii="Times New Roman" w:hAnsi="Times New Roman" w:cs="Times New Roman"/>
          <w:sz w:val="20"/>
          <w:szCs w:val="20"/>
        </w:rPr>
        <w:t>if the UE incapable of RTD&gt;CP, does it mean only single FFT module is assumed or no spare FFT module used for neighbour cell L-</w:t>
      </w:r>
      <w:r w:rsidR="001F0F0B">
        <w:rPr>
          <w:rFonts w:ascii="Times New Roman" w:hAnsi="Times New Roman" w:cs="Times New Roman" w:hint="eastAsia"/>
          <w:sz w:val="20"/>
          <w:szCs w:val="20"/>
        </w:rPr>
        <w:t>RSRP</w:t>
      </w:r>
      <w:r w:rsidR="001F0F0B">
        <w:rPr>
          <w:rFonts w:ascii="Times New Roman" w:hAnsi="Times New Roman" w:cs="Times New Roman"/>
          <w:sz w:val="20"/>
          <w:szCs w:val="20"/>
        </w:rPr>
        <w:t xml:space="preserve"> measurement? I</w:t>
      </w:r>
      <w:r w:rsidR="007B6667">
        <w:rPr>
          <w:rFonts w:ascii="Times New Roman" w:hAnsi="Times New Roman" w:cs="Times New Roman"/>
          <w:sz w:val="20"/>
          <w:szCs w:val="20"/>
        </w:rPr>
        <w:t xml:space="preserve">n case of FR1 inter-band CA case, e.g. 2 serving cells, 2 FFT module should be assumed to perform the simultaneous measurement on the </w:t>
      </w:r>
      <w:r w:rsidR="001F0F0B">
        <w:rPr>
          <w:rFonts w:ascii="Times New Roman" w:hAnsi="Times New Roman" w:cs="Times New Roman"/>
          <w:sz w:val="20"/>
          <w:szCs w:val="20"/>
        </w:rPr>
        <w:t>two serving cells</w:t>
      </w:r>
      <w:r w:rsidR="00C03E9D">
        <w:rPr>
          <w:rFonts w:ascii="Times New Roman" w:hAnsi="Times New Roman" w:cs="Times New Roman" w:hint="eastAsia"/>
          <w:sz w:val="20"/>
          <w:szCs w:val="20"/>
        </w:rPr>
        <w:t>,</w:t>
      </w:r>
      <w:r w:rsidR="00C03E9D">
        <w:rPr>
          <w:rFonts w:ascii="Times New Roman" w:hAnsi="Times New Roman" w:cs="Times New Roman"/>
          <w:sz w:val="20"/>
          <w:szCs w:val="20"/>
        </w:rPr>
        <w:t xml:space="preserve"> but the UE cannot perform L1 measurement on serving cells and neighbour cell </w:t>
      </w:r>
      <w:r w:rsidR="00C03E9D">
        <w:rPr>
          <w:rFonts w:ascii="Times New Roman" w:hAnsi="Times New Roman" w:cs="Times New Roman"/>
          <w:sz w:val="20"/>
          <w:szCs w:val="20"/>
        </w:rPr>
        <w:t>simultaneously</w:t>
      </w:r>
      <w:r w:rsidR="00C03E9D">
        <w:rPr>
          <w:rFonts w:ascii="Times New Roman" w:hAnsi="Times New Roman" w:cs="Times New Roman"/>
          <w:sz w:val="20"/>
          <w:szCs w:val="20"/>
        </w:rPr>
        <w:t>, as the UE does not have spare FFT module for L1 measurement on neighbour cell</w:t>
      </w:r>
      <w:r w:rsidR="007B6667">
        <w:rPr>
          <w:rFonts w:ascii="Times New Roman" w:hAnsi="Times New Roman" w:cs="Times New Roman"/>
          <w:sz w:val="20"/>
          <w:szCs w:val="20"/>
        </w:rPr>
        <w:t>.</w:t>
      </w:r>
      <w:r w:rsidR="00982553">
        <w:rPr>
          <w:rFonts w:ascii="Times New Roman" w:hAnsi="Times New Roman" w:cs="Times New Roman"/>
          <w:sz w:val="20"/>
          <w:szCs w:val="20"/>
        </w:rPr>
        <w:t xml:space="preserve"> </w:t>
      </w:r>
      <w:r w:rsidR="00C03E9D">
        <w:rPr>
          <w:rFonts w:ascii="Times New Roman" w:hAnsi="Times New Roman" w:cs="Times New Roman"/>
          <w:sz w:val="20"/>
          <w:szCs w:val="20"/>
        </w:rPr>
        <w:t>Therefore, in our understanding, i</w:t>
      </w:r>
      <w:r w:rsidR="00E479CC">
        <w:rPr>
          <w:rFonts w:ascii="Times New Roman" w:hAnsi="Times New Roman" w:cs="Times New Roman"/>
          <w:sz w:val="20"/>
          <w:szCs w:val="20"/>
        </w:rPr>
        <w:t xml:space="preserve">f the UE </w:t>
      </w:r>
      <w:r w:rsidR="001F0F0B">
        <w:rPr>
          <w:rFonts w:ascii="Times New Roman" w:hAnsi="Times New Roman" w:cs="Times New Roman"/>
          <w:sz w:val="20"/>
          <w:szCs w:val="20"/>
        </w:rPr>
        <w:t xml:space="preserve">does not support RTD&gt;CP, it </w:t>
      </w:r>
      <w:r w:rsidR="00C03E9D">
        <w:rPr>
          <w:rFonts w:ascii="Times New Roman" w:hAnsi="Times New Roman" w:cs="Times New Roman"/>
          <w:sz w:val="20"/>
          <w:szCs w:val="20"/>
        </w:rPr>
        <w:t>is assumed</w:t>
      </w:r>
      <w:r w:rsidR="001F0F0B">
        <w:rPr>
          <w:rFonts w:ascii="Times New Roman" w:hAnsi="Times New Roman" w:cs="Times New Roman"/>
          <w:sz w:val="20"/>
          <w:szCs w:val="20"/>
        </w:rPr>
        <w:t xml:space="preserve"> there is no spare FFT module for intra-frequency neighbour cell measurement.</w:t>
      </w:r>
      <w:r w:rsidR="001F0F0B" w:rsidRPr="001F0F0B">
        <w:rPr>
          <w:rFonts w:ascii="Times New Roman" w:hAnsi="Times New Roman" w:cs="Times New Roman"/>
          <w:sz w:val="20"/>
          <w:szCs w:val="20"/>
        </w:rPr>
        <w:t xml:space="preserve"> </w:t>
      </w:r>
    </w:p>
    <w:p w:rsidR="007B6667" w:rsidRDefault="00E479CC" w:rsidP="007B6667">
      <w:pPr>
        <w:spacing w:after="180"/>
        <w:jc w:val="center"/>
      </w:pPr>
      <w:r>
        <w:object w:dxaOrig="3120"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05pt;height:166.05pt" o:ole="">
            <v:imagedata r:id="rId8" o:title=""/>
          </v:shape>
          <o:OLEObject Type="Embed" ProgID="Visio.Drawing.15" ShapeID="_x0000_i1025" DrawAspect="Content" ObjectID="_1760544756" r:id="rId9"/>
        </w:object>
      </w:r>
      <w:r>
        <w:t xml:space="preserve">           </w:t>
      </w:r>
      <w:r>
        <w:object w:dxaOrig="3120" w:dyaOrig="3301">
          <v:shape id="_x0000_i1026" type="#_x0000_t75" style="width:156.05pt;height:165.25pt" o:ole="">
            <v:imagedata r:id="rId10" o:title=""/>
          </v:shape>
          <o:OLEObject Type="Embed" ProgID="Visio.Drawing.15" ShapeID="_x0000_i1026" DrawAspect="Content" ObjectID="_1760544757" r:id="rId11"/>
        </w:object>
      </w:r>
    </w:p>
    <w:p w:rsidR="005F501E" w:rsidRDefault="005F501E" w:rsidP="007B6667">
      <w:pPr>
        <w:spacing w:after="180"/>
        <w:jc w:val="center"/>
        <w:rPr>
          <w:rFonts w:ascii="Times New Roman" w:hAnsi="Times New Roman" w:cs="Times New Roman"/>
          <w:sz w:val="20"/>
          <w:szCs w:val="20"/>
        </w:rPr>
      </w:pPr>
      <w:r w:rsidRPr="005F501E">
        <w:rPr>
          <w:rFonts w:ascii="Times New Roman" w:hAnsi="Times New Roman" w:cs="Times New Roman"/>
          <w:sz w:val="20"/>
          <w:szCs w:val="20"/>
        </w:rPr>
        <w:t>Figure 1:</w:t>
      </w:r>
      <w:r>
        <w:rPr>
          <w:rFonts w:ascii="Times New Roman" w:hAnsi="Times New Roman" w:cs="Times New Roman"/>
          <w:sz w:val="20"/>
          <w:szCs w:val="20"/>
        </w:rPr>
        <w:t xml:space="preserve"> UE incapable of RTD&gt;CP and UE capable of RTD&gt;CP in NR CA case</w:t>
      </w:r>
    </w:p>
    <w:p w:rsidR="0031548E" w:rsidRDefault="0031548E" w:rsidP="00090FEC">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lastRenderedPageBreak/>
        <w:t>P</w:t>
      </w:r>
      <w:r w:rsidRPr="00B51B5D">
        <w:rPr>
          <w:rFonts w:ascii="Times New Roman" w:hAnsi="Times New Roman" w:cs="Times New Roman"/>
          <w:b/>
          <w:sz w:val="20"/>
          <w:szCs w:val="20"/>
        </w:rPr>
        <w:t>roposal 1: For UE incapable of RTD&gt;CP, it is assumed that no spare FFT module used for intra-frequency L1-RSRP measurement on neighbour cells.</w:t>
      </w:r>
    </w:p>
    <w:p w:rsidR="0008495A" w:rsidRDefault="0008495A" w:rsidP="00090FEC">
      <w:pPr>
        <w:spacing w:after="180"/>
        <w:rPr>
          <w:rFonts w:ascii="Times New Roman" w:hAnsi="Times New Roman" w:cs="Times New Roman"/>
          <w:sz w:val="20"/>
          <w:szCs w:val="20"/>
        </w:rPr>
      </w:pPr>
      <w:r>
        <w:rPr>
          <w:rFonts w:ascii="Times New Roman" w:hAnsi="Times New Roman" w:cs="Times New Roman"/>
          <w:sz w:val="20"/>
          <w:szCs w:val="20"/>
        </w:rPr>
        <w:t xml:space="preserve">If the UE supports RTD&gt;CP, does it mean the UE can simultaneously measure all the neighbor cells configured in the same intra-frequency layer or does it mean the UE has extra </w:t>
      </w:r>
      <w:r w:rsidR="004263BD">
        <w:rPr>
          <w:rFonts w:ascii="Times New Roman" w:hAnsi="Times New Roman" w:cs="Times New Roman"/>
          <w:sz w:val="20"/>
          <w:szCs w:val="20"/>
        </w:rPr>
        <w:t>FFT module to handle neighbor cell measurement?</w:t>
      </w:r>
      <w:r>
        <w:rPr>
          <w:rFonts w:ascii="Times New Roman" w:hAnsi="Times New Roman" w:cs="Times New Roman"/>
          <w:sz w:val="20"/>
          <w:szCs w:val="20"/>
        </w:rPr>
        <w:t xml:space="preserve"> </w:t>
      </w:r>
      <w:r w:rsidR="00ED3BD6">
        <w:rPr>
          <w:rFonts w:ascii="Times New Roman" w:hAnsi="Times New Roman" w:cs="Times New Roman"/>
          <w:sz w:val="20"/>
          <w:szCs w:val="20"/>
        </w:rPr>
        <w:t>For</w:t>
      </w:r>
      <w:r w:rsidR="004263BD">
        <w:rPr>
          <w:rFonts w:ascii="Times New Roman" w:hAnsi="Times New Roman" w:cs="Times New Roman"/>
          <w:sz w:val="20"/>
          <w:szCs w:val="20"/>
        </w:rPr>
        <w:t xml:space="preserve"> the former case, when the UE has </w:t>
      </w:r>
      <w:r w:rsidR="00ED3BD6">
        <w:rPr>
          <w:rFonts w:ascii="Times New Roman" w:hAnsi="Times New Roman" w:cs="Times New Roman"/>
          <w:sz w:val="20"/>
          <w:szCs w:val="20"/>
        </w:rPr>
        <w:t xml:space="preserve">only </w:t>
      </w:r>
      <w:r w:rsidR="004263BD">
        <w:rPr>
          <w:rFonts w:ascii="Times New Roman" w:hAnsi="Times New Roman" w:cs="Times New Roman"/>
          <w:sz w:val="20"/>
          <w:szCs w:val="20"/>
        </w:rPr>
        <w:t>one spare FFT module, the UE report</w:t>
      </w:r>
      <w:r w:rsidR="00ED3BD6">
        <w:rPr>
          <w:rFonts w:ascii="Times New Roman" w:hAnsi="Times New Roman" w:cs="Times New Roman"/>
          <w:sz w:val="20"/>
          <w:szCs w:val="20"/>
        </w:rPr>
        <w:t>s</w:t>
      </w:r>
      <w:r w:rsidR="004263BD">
        <w:rPr>
          <w:rFonts w:ascii="Times New Roman" w:hAnsi="Times New Roman" w:cs="Times New Roman"/>
          <w:sz w:val="20"/>
          <w:szCs w:val="20"/>
        </w:rPr>
        <w:t xml:space="preserve"> to support the capability of RTD&gt;CP, </w:t>
      </w:r>
      <w:r w:rsidR="00ED3BD6">
        <w:rPr>
          <w:rFonts w:ascii="Times New Roman" w:hAnsi="Times New Roman" w:cs="Times New Roman"/>
          <w:sz w:val="20"/>
          <w:szCs w:val="20"/>
        </w:rPr>
        <w:t>and the UE is configured to perform L1 measurement on two neighbour cell in one intra-frequency layer, and if the RTD between the two neighbour cells are larger than CP, the UE is not able to measure simultaneously on the two neighbour cell with one spare FFT module</w:t>
      </w:r>
      <w:r w:rsidR="00051762">
        <w:rPr>
          <w:rFonts w:ascii="Times New Roman" w:hAnsi="Times New Roman" w:cs="Times New Roman"/>
          <w:sz w:val="20"/>
          <w:szCs w:val="20"/>
        </w:rPr>
        <w:t>, as shown in following figure</w:t>
      </w:r>
      <w:r w:rsidR="00ED3BD6">
        <w:rPr>
          <w:rFonts w:ascii="Times New Roman" w:hAnsi="Times New Roman" w:cs="Times New Roman"/>
          <w:sz w:val="20"/>
          <w:szCs w:val="20"/>
        </w:rPr>
        <w:t>.</w:t>
      </w:r>
      <w:r w:rsidR="004263BD">
        <w:rPr>
          <w:rFonts w:ascii="Times New Roman" w:hAnsi="Times New Roman" w:cs="Times New Roman"/>
          <w:sz w:val="20"/>
          <w:szCs w:val="20"/>
        </w:rPr>
        <w:t xml:space="preserve"> </w:t>
      </w:r>
      <w:r w:rsidR="00BF4A92">
        <w:rPr>
          <w:rFonts w:ascii="Times New Roman" w:hAnsi="Times New Roman" w:cs="Times New Roman"/>
          <w:sz w:val="20"/>
          <w:szCs w:val="20"/>
        </w:rPr>
        <w:t xml:space="preserve">Based on above analysis, </w:t>
      </w:r>
      <w:r w:rsidR="00A75BEB">
        <w:rPr>
          <w:rFonts w:ascii="Times New Roman" w:hAnsi="Times New Roman" w:cs="Times New Roman"/>
          <w:sz w:val="20"/>
          <w:szCs w:val="20"/>
        </w:rPr>
        <w:t>we think if the UE is capable of supporting R</w:t>
      </w:r>
      <w:r w:rsidR="00A6245E">
        <w:rPr>
          <w:rFonts w:ascii="Times New Roman" w:hAnsi="Times New Roman" w:cs="Times New Roman"/>
          <w:sz w:val="20"/>
          <w:szCs w:val="20"/>
        </w:rPr>
        <w:t>TD&gt;CP,</w:t>
      </w:r>
      <w:r w:rsidR="00BF4A92">
        <w:rPr>
          <w:rFonts w:ascii="Times New Roman" w:hAnsi="Times New Roman" w:cs="Times New Roman"/>
          <w:sz w:val="20"/>
          <w:szCs w:val="20"/>
        </w:rPr>
        <w:t xml:space="preserve"> </w:t>
      </w:r>
      <w:r>
        <w:rPr>
          <w:rFonts w:ascii="Times New Roman" w:hAnsi="Times New Roman" w:cs="Times New Roman"/>
          <w:sz w:val="20"/>
          <w:szCs w:val="20"/>
        </w:rPr>
        <w:t>it</w:t>
      </w:r>
      <w:r w:rsidR="00A6245E">
        <w:rPr>
          <w:rFonts w:ascii="Times New Roman" w:hAnsi="Times New Roman" w:cs="Times New Roman"/>
          <w:sz w:val="20"/>
          <w:szCs w:val="20"/>
        </w:rPr>
        <w:t xml:space="preserve"> is</w:t>
      </w:r>
      <w:r>
        <w:rPr>
          <w:rFonts w:ascii="Times New Roman" w:hAnsi="Times New Roman" w:cs="Times New Roman"/>
          <w:sz w:val="20"/>
          <w:szCs w:val="20"/>
        </w:rPr>
        <w:t xml:space="preserve"> assumed there is at least one spare FFT module used for intra-frequency neighbour cell measurements</w:t>
      </w:r>
      <w:r w:rsidR="00F93929">
        <w:rPr>
          <w:rFonts w:ascii="Times New Roman" w:hAnsi="Times New Roman" w:cs="Times New Roman"/>
          <w:sz w:val="20"/>
          <w:szCs w:val="20"/>
        </w:rPr>
        <w:t>, and if the number of neighbour cell is larger than the spare FFT modules, the measurement period should be scaled</w:t>
      </w:r>
      <w:r>
        <w:rPr>
          <w:rFonts w:ascii="Times New Roman" w:hAnsi="Times New Roman" w:cs="Times New Roman"/>
          <w:sz w:val="20"/>
          <w:szCs w:val="20"/>
        </w:rPr>
        <w:t>.</w:t>
      </w:r>
      <w:r w:rsidR="00A6245E">
        <w:rPr>
          <w:rFonts w:ascii="Times New Roman" w:hAnsi="Times New Roman" w:cs="Times New Roman"/>
          <w:sz w:val="20"/>
          <w:szCs w:val="20"/>
        </w:rPr>
        <w:t xml:space="preserve"> In addition, </w:t>
      </w:r>
      <w:r w:rsidR="001B69EE">
        <w:rPr>
          <w:rFonts w:ascii="Times New Roman" w:hAnsi="Times New Roman" w:cs="Times New Roman"/>
          <w:sz w:val="20"/>
          <w:szCs w:val="20"/>
        </w:rPr>
        <w:t xml:space="preserve">it is necessary for UE to indicate the available number of FFT module used for intra-frequency neighbour cell measurement, since the number of spare FFT module will impact the scaling factor for measurement delay requirement. </w:t>
      </w:r>
    </w:p>
    <w:p w:rsidR="00ED3BD6" w:rsidRDefault="00ED3BD6" w:rsidP="00090FEC">
      <w:pPr>
        <w:spacing w:after="180"/>
      </w:pPr>
      <w:r>
        <w:object w:dxaOrig="7431" w:dyaOrig="2371">
          <v:shape id="_x0000_i1027" type="#_x0000_t75" style="width:414.5pt;height:132.35pt" o:ole="">
            <v:imagedata r:id="rId12" o:title=""/>
          </v:shape>
          <o:OLEObject Type="Embed" ProgID="Visio.Drawing.15" ShapeID="_x0000_i1027" DrawAspect="Content" ObjectID="_1760544758" r:id="rId13"/>
        </w:object>
      </w:r>
    </w:p>
    <w:p w:rsidR="009E758C" w:rsidRPr="009E758C" w:rsidRDefault="009E758C" w:rsidP="009E758C">
      <w:pPr>
        <w:spacing w:after="180"/>
        <w:jc w:val="center"/>
        <w:rPr>
          <w:rFonts w:ascii="Times New Roman" w:hAnsi="Times New Roman" w:cs="Times New Roman"/>
          <w:sz w:val="20"/>
          <w:szCs w:val="20"/>
        </w:rPr>
      </w:pPr>
      <w:r w:rsidRPr="009E758C">
        <w:rPr>
          <w:rFonts w:ascii="Times New Roman" w:hAnsi="Times New Roman" w:cs="Times New Roman"/>
          <w:sz w:val="20"/>
          <w:szCs w:val="20"/>
        </w:rPr>
        <w:t>Figure 2:</w:t>
      </w:r>
      <w:r>
        <w:rPr>
          <w:rFonts w:ascii="Times New Roman" w:hAnsi="Times New Roman" w:cs="Times New Roman"/>
          <w:sz w:val="20"/>
          <w:szCs w:val="20"/>
        </w:rPr>
        <w:t xml:space="preserve"> L1 measurement on two neighbour cells for UE capable of RTD&gt;CP with one spare FFT module</w:t>
      </w:r>
    </w:p>
    <w:p w:rsidR="00A75BEB" w:rsidRDefault="00A75BEB" w:rsidP="0031548E">
      <w:pPr>
        <w:spacing w:after="180"/>
        <w:rPr>
          <w:rFonts w:ascii="Times New Roman" w:hAnsi="Times New Roman" w:cs="Times New Roman"/>
          <w:b/>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bservation 1: T</w:t>
      </w:r>
      <w:r w:rsidRPr="00A75BEB">
        <w:rPr>
          <w:rFonts w:ascii="Times New Roman" w:hAnsi="Times New Roman" w:cs="Times New Roman"/>
          <w:b/>
          <w:sz w:val="20"/>
          <w:szCs w:val="20"/>
        </w:rPr>
        <w:t xml:space="preserve">he UE </w:t>
      </w:r>
      <w:r>
        <w:rPr>
          <w:rFonts w:ascii="Times New Roman" w:hAnsi="Times New Roman" w:cs="Times New Roman"/>
          <w:b/>
          <w:sz w:val="20"/>
          <w:szCs w:val="20"/>
        </w:rPr>
        <w:t>is capable of supporting</w:t>
      </w:r>
      <w:r w:rsidRPr="00A75BEB">
        <w:rPr>
          <w:rFonts w:ascii="Times New Roman" w:hAnsi="Times New Roman" w:cs="Times New Roman"/>
          <w:b/>
          <w:sz w:val="20"/>
          <w:szCs w:val="20"/>
        </w:rPr>
        <w:t xml:space="preserve"> RTD&gt;CP, it </w:t>
      </w:r>
      <w:r>
        <w:rPr>
          <w:rFonts w:ascii="Times New Roman" w:hAnsi="Times New Roman" w:cs="Times New Roman"/>
          <w:b/>
          <w:sz w:val="20"/>
          <w:szCs w:val="20"/>
        </w:rPr>
        <w:t xml:space="preserve">does not </w:t>
      </w:r>
      <w:r w:rsidRPr="00A75BEB">
        <w:rPr>
          <w:rFonts w:ascii="Times New Roman" w:hAnsi="Times New Roman" w:cs="Times New Roman"/>
          <w:b/>
          <w:sz w:val="20"/>
          <w:szCs w:val="20"/>
        </w:rPr>
        <w:t>mean the UE can simultaneously measure all the neighbor cells configured in the same intra-frequency layer</w:t>
      </w:r>
      <w:r>
        <w:rPr>
          <w:rFonts w:ascii="Times New Roman" w:hAnsi="Times New Roman" w:cs="Times New Roman"/>
          <w:b/>
          <w:sz w:val="20"/>
          <w:szCs w:val="20"/>
        </w:rPr>
        <w:t>.</w:t>
      </w:r>
    </w:p>
    <w:p w:rsidR="0031548E" w:rsidRDefault="0031548E" w:rsidP="0031548E">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sidRPr="00B51B5D">
        <w:rPr>
          <w:rFonts w:ascii="Times New Roman" w:hAnsi="Times New Roman" w:cs="Times New Roman"/>
          <w:b/>
          <w:sz w:val="20"/>
          <w:szCs w:val="20"/>
        </w:rPr>
        <w:t>roposal 2: For UE capable of RTD&gt;CP, it is assumed that there is at least one spare FFT module used for intra-frequency L1-RSRP measurement on neighbour cells.</w:t>
      </w:r>
    </w:p>
    <w:p w:rsidR="00F14533" w:rsidRDefault="001B69EE" w:rsidP="00090FEC">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sidRPr="00B51B5D">
        <w:rPr>
          <w:rFonts w:ascii="Times New Roman" w:hAnsi="Times New Roman" w:cs="Times New Roman"/>
          <w:b/>
          <w:sz w:val="20"/>
          <w:szCs w:val="20"/>
        </w:rPr>
        <w:t xml:space="preserve">roposal </w:t>
      </w:r>
      <w:r>
        <w:rPr>
          <w:rFonts w:ascii="Times New Roman" w:hAnsi="Times New Roman" w:cs="Times New Roman"/>
          <w:b/>
          <w:sz w:val="20"/>
          <w:szCs w:val="20"/>
        </w:rPr>
        <w:t>3</w:t>
      </w:r>
      <w:r w:rsidRPr="00B51B5D">
        <w:rPr>
          <w:rFonts w:ascii="Times New Roman" w:hAnsi="Times New Roman" w:cs="Times New Roman"/>
          <w:b/>
          <w:sz w:val="20"/>
          <w:szCs w:val="20"/>
        </w:rPr>
        <w:t xml:space="preserve">: </w:t>
      </w:r>
      <w:r>
        <w:rPr>
          <w:rFonts w:ascii="Times New Roman" w:hAnsi="Times New Roman" w:cs="Times New Roman"/>
          <w:b/>
          <w:sz w:val="20"/>
          <w:szCs w:val="20"/>
        </w:rPr>
        <w:t>In the</w:t>
      </w:r>
      <w:r w:rsidRPr="00B51B5D">
        <w:rPr>
          <w:rFonts w:ascii="Times New Roman" w:hAnsi="Times New Roman" w:cs="Times New Roman"/>
          <w:b/>
          <w:sz w:val="20"/>
          <w:szCs w:val="20"/>
        </w:rPr>
        <w:t xml:space="preserve"> UE </w:t>
      </w:r>
      <w:r>
        <w:rPr>
          <w:rFonts w:ascii="Times New Roman" w:hAnsi="Times New Roman" w:cs="Times New Roman"/>
          <w:b/>
          <w:sz w:val="20"/>
          <w:szCs w:val="20"/>
        </w:rPr>
        <w:t>capability</w:t>
      </w:r>
      <w:r w:rsidRPr="00B51B5D">
        <w:rPr>
          <w:rFonts w:ascii="Times New Roman" w:hAnsi="Times New Roman" w:cs="Times New Roman"/>
          <w:b/>
          <w:sz w:val="20"/>
          <w:szCs w:val="20"/>
        </w:rPr>
        <w:t xml:space="preserve"> of RTD&gt;CP, </w:t>
      </w:r>
      <w:r w:rsidRPr="001B69EE">
        <w:rPr>
          <w:rFonts w:ascii="Times New Roman" w:hAnsi="Times New Roman" w:cs="Times New Roman"/>
          <w:b/>
          <w:sz w:val="20"/>
          <w:szCs w:val="20"/>
        </w:rPr>
        <w:t>it is necessary to indicate the available number of FFT module used for intra-frequency neighbour cell measurement</w:t>
      </w:r>
      <w:r w:rsidRPr="00B51B5D">
        <w:rPr>
          <w:rFonts w:ascii="Times New Roman" w:hAnsi="Times New Roman" w:cs="Times New Roman"/>
          <w:b/>
          <w:sz w:val="20"/>
          <w:szCs w:val="20"/>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0"/>
      </w:tblGrid>
      <w:tr w:rsidR="00C154EE" w:rsidTr="00765059">
        <w:trPr>
          <w:trHeight w:val="633"/>
        </w:trPr>
        <w:tc>
          <w:tcPr>
            <w:tcW w:w="8240" w:type="dxa"/>
          </w:tcPr>
          <w:p w:rsidR="00C154EE" w:rsidRPr="00F14533" w:rsidRDefault="00C154EE" w:rsidP="00765059">
            <w:pPr>
              <w:spacing w:afterLines="50" w:after="156"/>
              <w:rPr>
                <w:rFonts w:ascii="Times New Roman" w:hAnsi="Times New Roman" w:cs="Times New Roman"/>
                <w:b/>
                <w:sz w:val="20"/>
                <w:szCs w:val="20"/>
                <w:u w:val="single"/>
              </w:rPr>
            </w:pPr>
            <w:r w:rsidRPr="00F14533">
              <w:rPr>
                <w:rFonts w:ascii="Times New Roman" w:hAnsi="Times New Roman" w:cs="Times New Roman"/>
                <w:b/>
                <w:sz w:val="20"/>
                <w:szCs w:val="20"/>
                <w:u w:val="single"/>
              </w:rPr>
              <w:t>Issue 2-3-2-1: Measurement requirements for UE incapable of RTD&gt;CP or UE incapable of measuring multiple cells on the same OFDM symbol when actual RTD&gt;CP</w:t>
            </w:r>
          </w:p>
          <w:p w:rsidR="00C154EE" w:rsidRPr="00F14533" w:rsidRDefault="00C154EE" w:rsidP="00765059">
            <w:pPr>
              <w:spacing w:afterLines="50" w:after="156"/>
              <w:rPr>
                <w:rFonts w:ascii="Times New Roman" w:hAnsi="Times New Roman" w:cs="Times New Roman"/>
                <w:b/>
                <w:sz w:val="20"/>
                <w:szCs w:val="20"/>
              </w:rPr>
            </w:pPr>
            <w:r w:rsidRPr="00F14533">
              <w:rPr>
                <w:rFonts w:ascii="Times New Roman" w:hAnsi="Times New Roman" w:cs="Times New Roman"/>
                <w:b/>
                <w:sz w:val="20"/>
                <w:szCs w:val="20"/>
              </w:rPr>
              <w:t>&lt;Agreement&gt;</w:t>
            </w:r>
          </w:p>
          <w:p w:rsidR="00C154EE" w:rsidRPr="00F14533" w:rsidRDefault="00C154EE" w:rsidP="00765059">
            <w:pPr>
              <w:pStyle w:val="a7"/>
              <w:numPr>
                <w:ilvl w:val="1"/>
                <w:numId w:val="4"/>
              </w:numPr>
              <w:ind w:left="1440"/>
              <w:contextualSpacing w:val="0"/>
              <w:rPr>
                <w:sz w:val="20"/>
                <w:szCs w:val="20"/>
                <w:lang w:eastAsia="zh-CN"/>
              </w:rPr>
            </w:pPr>
            <w:r w:rsidRPr="00F14533">
              <w:rPr>
                <w:sz w:val="20"/>
                <w:szCs w:val="20"/>
                <w:lang w:eastAsia="zh-CN"/>
              </w:rPr>
              <w:t>In FR2, measurement period follows the agreement of issue 2-3-3-2 (Measurement period of intra-frequency L1-RSRP measurement for UE capable of RTD&gt;CP in FR2 if UE only performs L1-RSRP measurement on a single intra-frequency layer)</w:t>
            </w:r>
          </w:p>
          <w:p w:rsidR="00C154EE" w:rsidRPr="00F14533" w:rsidRDefault="00C154EE" w:rsidP="00765059">
            <w:pPr>
              <w:pStyle w:val="a7"/>
              <w:numPr>
                <w:ilvl w:val="1"/>
                <w:numId w:val="4"/>
              </w:numPr>
              <w:ind w:left="1440"/>
              <w:contextualSpacing w:val="0"/>
              <w:rPr>
                <w:sz w:val="20"/>
                <w:szCs w:val="20"/>
                <w:lang w:eastAsia="zh-CN"/>
              </w:rPr>
            </w:pPr>
            <w:r w:rsidRPr="00F14533">
              <w:rPr>
                <w:sz w:val="20"/>
                <w:szCs w:val="20"/>
                <w:lang w:eastAsia="zh-CN"/>
              </w:rPr>
              <w:t xml:space="preserve">In FR1, down-selection from </w:t>
            </w:r>
            <w:r w:rsidRPr="00F14533">
              <w:rPr>
                <w:bCs/>
                <w:sz w:val="20"/>
                <w:szCs w:val="20"/>
                <w:lang w:eastAsia="zh-CN"/>
              </w:rPr>
              <w:t>the following option</w:t>
            </w:r>
            <w:r w:rsidRPr="00F14533">
              <w:rPr>
                <w:sz w:val="20"/>
                <w:szCs w:val="20"/>
                <w:lang w:eastAsia="zh-CN"/>
              </w:rPr>
              <w:t>s:</w:t>
            </w:r>
          </w:p>
          <w:p w:rsidR="00C154EE" w:rsidRPr="00F14533" w:rsidRDefault="00C154EE" w:rsidP="00765059">
            <w:pPr>
              <w:pStyle w:val="a7"/>
              <w:numPr>
                <w:ilvl w:val="1"/>
                <w:numId w:val="4"/>
              </w:numPr>
              <w:ind w:leftChars="740" w:left="1914"/>
              <w:contextualSpacing w:val="0"/>
              <w:rPr>
                <w:sz w:val="20"/>
                <w:szCs w:val="20"/>
                <w:lang w:eastAsia="zh-CN"/>
              </w:rPr>
            </w:pPr>
            <w:r w:rsidRPr="00F14533">
              <w:rPr>
                <w:sz w:val="20"/>
                <w:szCs w:val="20"/>
                <w:lang w:eastAsia="zh-CN"/>
              </w:rPr>
              <w:lastRenderedPageBreak/>
              <w:t>Option 1 (CATT, CMCC, xiaomi, ZTE, Huawei, MTK, vivo)</w:t>
            </w:r>
          </w:p>
          <w:p w:rsidR="00C154EE" w:rsidRPr="00F14533" w:rsidRDefault="00C154EE" w:rsidP="00765059">
            <w:pPr>
              <w:pStyle w:val="a7"/>
              <w:numPr>
                <w:ilvl w:val="2"/>
                <w:numId w:val="4"/>
              </w:numPr>
              <w:overflowPunct w:val="0"/>
              <w:autoSpaceDE w:val="0"/>
              <w:autoSpaceDN w:val="0"/>
              <w:adjustRightInd w:val="0"/>
              <w:ind w:leftChars="1208" w:left="2897"/>
              <w:contextualSpacing w:val="0"/>
              <w:textAlignment w:val="baseline"/>
              <w:rPr>
                <w:sz w:val="20"/>
                <w:szCs w:val="20"/>
                <w:lang w:eastAsia="zh-CN"/>
              </w:rPr>
            </w:pPr>
            <w:r w:rsidRPr="00F14533">
              <w:rPr>
                <w:sz w:val="20"/>
                <w:szCs w:val="20"/>
                <w:lang w:eastAsia="zh-CN"/>
              </w:rPr>
              <w:t>when the actual RTD of serving cell and neighbour cell is no larger than CP, the legacy measurement period, measurement restriction and scheduling restriction defined for non-serving cell in R17 apply for intra-frequency L1-RSRP measurement on neighbour cell.</w:t>
            </w:r>
          </w:p>
          <w:p w:rsidR="00C154EE" w:rsidRPr="00F14533" w:rsidRDefault="00C154EE" w:rsidP="00765059">
            <w:pPr>
              <w:pStyle w:val="a7"/>
              <w:numPr>
                <w:ilvl w:val="2"/>
                <w:numId w:val="4"/>
              </w:numPr>
              <w:overflowPunct w:val="0"/>
              <w:autoSpaceDE w:val="0"/>
              <w:autoSpaceDN w:val="0"/>
              <w:adjustRightInd w:val="0"/>
              <w:ind w:leftChars="1208" w:left="2897"/>
              <w:contextualSpacing w:val="0"/>
              <w:textAlignment w:val="baseline"/>
              <w:rPr>
                <w:sz w:val="20"/>
                <w:szCs w:val="20"/>
                <w:lang w:eastAsia="zh-CN"/>
              </w:rPr>
            </w:pPr>
            <w:r w:rsidRPr="00F14533">
              <w:rPr>
                <w:sz w:val="20"/>
                <w:szCs w:val="20"/>
                <w:lang w:eastAsia="zh-CN"/>
              </w:rPr>
              <w:t xml:space="preserve">when actual RTD&gt;CP, accuracy degradation will be allowed or no requirements. </w:t>
            </w:r>
          </w:p>
          <w:p w:rsidR="00C154EE" w:rsidRPr="00F14533" w:rsidRDefault="00C154EE" w:rsidP="00765059">
            <w:pPr>
              <w:pStyle w:val="a7"/>
              <w:numPr>
                <w:ilvl w:val="2"/>
                <w:numId w:val="4"/>
              </w:numPr>
              <w:overflowPunct w:val="0"/>
              <w:autoSpaceDE w:val="0"/>
              <w:autoSpaceDN w:val="0"/>
              <w:adjustRightInd w:val="0"/>
              <w:ind w:leftChars="1208" w:left="2897"/>
              <w:contextualSpacing w:val="0"/>
              <w:textAlignment w:val="baseline"/>
              <w:rPr>
                <w:sz w:val="20"/>
                <w:szCs w:val="20"/>
                <w:lang w:eastAsia="zh-CN"/>
              </w:rPr>
            </w:pPr>
            <w:r w:rsidRPr="00F14533">
              <w:rPr>
                <w:sz w:val="20"/>
                <w:szCs w:val="20"/>
                <w:lang w:eastAsia="zh-CN"/>
              </w:rPr>
              <w:t>Option 1a (Huawei):</w:t>
            </w:r>
          </w:p>
          <w:p w:rsidR="00C154EE" w:rsidRPr="00F14533" w:rsidRDefault="00C154EE" w:rsidP="00765059">
            <w:pPr>
              <w:pStyle w:val="a7"/>
              <w:numPr>
                <w:ilvl w:val="3"/>
                <w:numId w:val="4"/>
              </w:numPr>
              <w:overflowPunct w:val="0"/>
              <w:autoSpaceDE w:val="0"/>
              <w:autoSpaceDN w:val="0"/>
              <w:adjustRightInd w:val="0"/>
              <w:ind w:leftChars="1568" w:left="3653"/>
              <w:contextualSpacing w:val="0"/>
              <w:textAlignment w:val="baseline"/>
              <w:rPr>
                <w:sz w:val="20"/>
                <w:szCs w:val="20"/>
                <w:lang w:eastAsia="zh-CN"/>
              </w:rPr>
            </w:pPr>
            <w:r w:rsidRPr="00F14533">
              <w:rPr>
                <w:sz w:val="20"/>
                <w:szCs w:val="20"/>
                <w:lang w:eastAsia="zh-CN"/>
              </w:rPr>
              <w:t xml:space="preserve">In FR1, when the actual RTD of serving cell and neighbour cell is no larger than CP, the legacy FR1 measurement period specified for R17 non-serving cell can be reused.  </w:t>
            </w:r>
          </w:p>
          <w:p w:rsidR="00C154EE" w:rsidRPr="00F14533" w:rsidRDefault="00C154EE" w:rsidP="00765059">
            <w:pPr>
              <w:pStyle w:val="a7"/>
              <w:numPr>
                <w:ilvl w:val="1"/>
                <w:numId w:val="4"/>
              </w:numPr>
              <w:ind w:leftChars="740" w:left="1914"/>
              <w:contextualSpacing w:val="0"/>
              <w:rPr>
                <w:sz w:val="20"/>
                <w:szCs w:val="20"/>
                <w:lang w:eastAsia="zh-CN"/>
              </w:rPr>
            </w:pPr>
            <w:r w:rsidRPr="00F14533">
              <w:rPr>
                <w:sz w:val="20"/>
                <w:szCs w:val="20"/>
                <w:lang w:eastAsia="zh-CN"/>
              </w:rPr>
              <w:t>Option 2 (Apple, QC): RAN4 to define requirements for both RTD &gt; CP and RTD &lt;= CP</w:t>
            </w:r>
          </w:p>
          <w:p w:rsidR="00C154EE" w:rsidRPr="00F14533" w:rsidRDefault="00C154EE" w:rsidP="00765059">
            <w:pPr>
              <w:pStyle w:val="a7"/>
              <w:numPr>
                <w:ilvl w:val="2"/>
                <w:numId w:val="4"/>
              </w:numPr>
              <w:overflowPunct w:val="0"/>
              <w:autoSpaceDE w:val="0"/>
              <w:autoSpaceDN w:val="0"/>
              <w:adjustRightInd w:val="0"/>
              <w:ind w:leftChars="1208" w:left="2897"/>
              <w:contextualSpacing w:val="0"/>
              <w:textAlignment w:val="baseline"/>
              <w:rPr>
                <w:lang w:eastAsia="zh-CN"/>
              </w:rPr>
            </w:pPr>
            <w:r w:rsidRPr="00F14533">
              <w:rPr>
                <w:sz w:val="20"/>
                <w:szCs w:val="20"/>
                <w:lang w:eastAsia="zh-CN"/>
              </w:rPr>
              <w:t>In FR1:‘the existing L1-RSRP measurement period (Table 9.5.4.1-1)’ x ‘the number of L1 measurement cells (including non-LTM L1-RSRP measurement cells) having SSBs colliding in the time domain’</w:t>
            </w:r>
          </w:p>
        </w:tc>
      </w:tr>
    </w:tbl>
    <w:p w:rsidR="00A01E51" w:rsidRDefault="00C154EE" w:rsidP="00090FEC">
      <w:pPr>
        <w:spacing w:after="180"/>
        <w:rPr>
          <w:rFonts w:ascii="Times New Roman" w:hAnsi="Times New Roman" w:cs="Times New Roman"/>
          <w:sz w:val="20"/>
          <w:szCs w:val="20"/>
        </w:rPr>
      </w:pPr>
      <w:r>
        <w:rPr>
          <w:rFonts w:ascii="Times New Roman" w:hAnsi="Times New Roman" w:cs="Times New Roman"/>
          <w:sz w:val="20"/>
          <w:szCs w:val="20"/>
        </w:rPr>
        <w:lastRenderedPageBreak/>
        <w:t xml:space="preserve">For UE incapable of RTD&gt;CP, </w:t>
      </w:r>
      <w:r>
        <w:rPr>
          <w:rFonts w:ascii="Times New Roman" w:hAnsi="Times New Roman" w:cs="Times New Roman"/>
          <w:sz w:val="20"/>
          <w:szCs w:val="20"/>
        </w:rPr>
        <w:t xml:space="preserve">when the RTD between serving cell and neighbour cell(s) are larger than CP, </w:t>
      </w:r>
      <w:r>
        <w:rPr>
          <w:rFonts w:ascii="Times New Roman" w:hAnsi="Times New Roman" w:cs="Times New Roman"/>
          <w:sz w:val="20"/>
          <w:szCs w:val="20"/>
        </w:rPr>
        <w:t xml:space="preserve">the UE either follows serving cell’s </w:t>
      </w:r>
      <w:r>
        <w:rPr>
          <w:rFonts w:ascii="Times New Roman" w:hAnsi="Times New Roman" w:cs="Times New Roman" w:hint="eastAsia"/>
          <w:sz w:val="20"/>
          <w:szCs w:val="20"/>
        </w:rPr>
        <w:t>FF</w:t>
      </w:r>
      <w:r>
        <w:rPr>
          <w:rFonts w:ascii="Times New Roman" w:hAnsi="Times New Roman" w:cs="Times New Roman"/>
          <w:sz w:val="20"/>
          <w:szCs w:val="20"/>
        </w:rPr>
        <w:t xml:space="preserve">T timing for serving cells’ L1-RSRP measurement or follows intra-frequency neighbour cell’s FFT timing for neighbour cells’ L1-RSRP measurement. </w:t>
      </w:r>
      <w:r w:rsidR="00CD5CA6">
        <w:rPr>
          <w:rFonts w:ascii="Times New Roman" w:hAnsi="Times New Roman" w:cs="Times New Roman"/>
          <w:sz w:val="20"/>
          <w:szCs w:val="20"/>
        </w:rPr>
        <w:t>If RAN4 agrees to define measurement requirement for this case, the measurement period requirement for both serving cell and neighbour cell would be scaled by the number of cells in this intra-frequency layer. If the number of neighbour cell is larger, the L1 measurement period for serving cell would be extended too much. In addition, as agreed in [1] i</w:t>
      </w:r>
      <w:r w:rsidR="00A01E51">
        <w:rPr>
          <w:rFonts w:ascii="Times New Roman" w:hAnsi="Times New Roman" w:cs="Times New Roman"/>
          <w:sz w:val="20"/>
          <w:szCs w:val="20"/>
        </w:rPr>
        <w:t xml:space="preserve">n </w:t>
      </w:r>
      <w:r w:rsidR="00A01E51">
        <w:rPr>
          <w:rFonts w:ascii="Times New Roman" w:hAnsi="Times New Roman" w:cs="Times New Roman"/>
          <w:sz w:val="20"/>
          <w:szCs w:val="20"/>
        </w:rPr>
        <w:t>last meeting</w:t>
      </w:r>
      <w:r w:rsidR="00A01E51">
        <w:rPr>
          <w:rFonts w:ascii="Times New Roman" w:hAnsi="Times New Roman" w:cs="Times New Roman"/>
          <w:sz w:val="20"/>
          <w:szCs w:val="20"/>
        </w:rPr>
        <w:t xml:space="preserve">, RAN4 was agreed that the UE is </w:t>
      </w:r>
      <w:r w:rsidR="00541AA0">
        <w:rPr>
          <w:rFonts w:ascii="Times New Roman" w:hAnsi="Times New Roman" w:cs="Times New Roman"/>
          <w:sz w:val="20"/>
          <w:szCs w:val="20"/>
        </w:rPr>
        <w:t>prioritized</w:t>
      </w:r>
      <w:r w:rsidR="00A01E51">
        <w:rPr>
          <w:rFonts w:ascii="Times New Roman" w:hAnsi="Times New Roman" w:cs="Times New Roman"/>
          <w:sz w:val="20"/>
          <w:szCs w:val="20"/>
        </w:rPr>
        <w:t xml:space="preserve"> to measure the neighbour cell in the TCI list</w:t>
      </w:r>
      <w:r w:rsidR="00541AA0">
        <w:rPr>
          <w:rFonts w:ascii="Times New Roman" w:hAnsi="Times New Roman" w:cs="Times New Roman"/>
          <w:sz w:val="20"/>
          <w:szCs w:val="20"/>
        </w:rPr>
        <w:t xml:space="preserve"> compared with other neighbour cells in FR2, e.g. the serving cell and the neighbour cell in the TCI list </w:t>
      </w:r>
      <w:r>
        <w:rPr>
          <w:rFonts w:ascii="Times New Roman" w:hAnsi="Times New Roman" w:cs="Times New Roman"/>
          <w:sz w:val="20"/>
          <w:szCs w:val="20"/>
        </w:rPr>
        <w:t>have one-</w:t>
      </w:r>
      <w:r w:rsidR="00541AA0">
        <w:rPr>
          <w:rFonts w:ascii="Times New Roman" w:hAnsi="Times New Roman" w:cs="Times New Roman"/>
          <w:sz w:val="20"/>
          <w:szCs w:val="20"/>
        </w:rPr>
        <w:t xml:space="preserve">third </w:t>
      </w:r>
      <w:r>
        <w:rPr>
          <w:rFonts w:ascii="Times New Roman" w:hAnsi="Times New Roman" w:cs="Times New Roman"/>
          <w:sz w:val="20"/>
          <w:szCs w:val="20"/>
        </w:rPr>
        <w:t>of the measurement occasion respectively</w:t>
      </w:r>
      <w:r w:rsidR="00541AA0">
        <w:rPr>
          <w:rFonts w:ascii="Times New Roman" w:hAnsi="Times New Roman" w:cs="Times New Roman"/>
          <w:sz w:val="20"/>
          <w:szCs w:val="20"/>
        </w:rPr>
        <w:t>.</w:t>
      </w:r>
      <w:r>
        <w:rPr>
          <w:rFonts w:ascii="Times New Roman" w:hAnsi="Times New Roman" w:cs="Times New Roman"/>
          <w:sz w:val="20"/>
          <w:szCs w:val="20"/>
        </w:rPr>
        <w:t xml:space="preserve"> And we think this</w:t>
      </w:r>
      <w:r w:rsidR="00CD5CA6">
        <w:rPr>
          <w:rFonts w:ascii="Times New Roman" w:hAnsi="Times New Roman" w:cs="Times New Roman"/>
          <w:sz w:val="20"/>
          <w:szCs w:val="20"/>
        </w:rPr>
        <w:t xml:space="preserve"> principle can be applied to this case in FR1. And it is reasonable to prioritize </w:t>
      </w:r>
      <w:r w:rsidR="00CD5CA6">
        <w:rPr>
          <w:rFonts w:ascii="Times New Roman" w:hAnsi="Times New Roman" w:cs="Times New Roman" w:hint="eastAsia"/>
          <w:sz w:val="20"/>
          <w:szCs w:val="20"/>
        </w:rPr>
        <w:t>L</w:t>
      </w:r>
      <w:r w:rsidR="00CD5CA6">
        <w:rPr>
          <w:rFonts w:ascii="Times New Roman" w:hAnsi="Times New Roman" w:cs="Times New Roman"/>
          <w:sz w:val="20"/>
          <w:szCs w:val="20"/>
        </w:rPr>
        <w:t>1 measurement on serving cell and on</w:t>
      </w:r>
      <w:r>
        <w:rPr>
          <w:rFonts w:ascii="Times New Roman" w:hAnsi="Times New Roman" w:cs="Times New Roman"/>
          <w:sz w:val="20"/>
          <w:szCs w:val="20"/>
        </w:rPr>
        <w:t xml:space="preserve"> the neighbour cell </w:t>
      </w:r>
      <w:r w:rsidR="00CD5CA6">
        <w:rPr>
          <w:rFonts w:ascii="Times New Roman" w:hAnsi="Times New Roman" w:cs="Times New Roman"/>
          <w:sz w:val="20"/>
          <w:szCs w:val="20"/>
        </w:rPr>
        <w:t>whose TCI state is activated regardless it is in FR1 or in FR2.</w:t>
      </w:r>
    </w:p>
    <w:p w:rsidR="009F697A" w:rsidRDefault="009F697A" w:rsidP="009F697A">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Pr>
          <w:rFonts w:ascii="Times New Roman" w:hAnsi="Times New Roman" w:cs="Times New Roman"/>
          <w:b/>
          <w:sz w:val="20"/>
          <w:szCs w:val="20"/>
        </w:rPr>
        <w:t>roposal 4</w:t>
      </w:r>
      <w:r w:rsidRPr="00B51B5D">
        <w:rPr>
          <w:rFonts w:ascii="Times New Roman" w:hAnsi="Times New Roman" w:cs="Times New Roman"/>
          <w:b/>
          <w:sz w:val="20"/>
          <w:szCs w:val="20"/>
        </w:rPr>
        <w:t xml:space="preserve">: </w:t>
      </w:r>
      <w:r>
        <w:rPr>
          <w:rFonts w:ascii="Times New Roman" w:hAnsi="Times New Roman" w:cs="Times New Roman"/>
          <w:b/>
          <w:sz w:val="20"/>
          <w:szCs w:val="20"/>
        </w:rPr>
        <w:t xml:space="preserve">RAN4 to define the measurement delay requirement for </w:t>
      </w:r>
      <w:r w:rsidRPr="009F697A">
        <w:rPr>
          <w:rFonts w:ascii="Times New Roman" w:hAnsi="Times New Roman" w:cs="Times New Roman"/>
          <w:b/>
          <w:sz w:val="20"/>
          <w:szCs w:val="20"/>
        </w:rPr>
        <w:t>UE incapable of RTD&gt;CP when actual RTD&gt;CP</w:t>
      </w:r>
      <w:r w:rsidR="005B76D7">
        <w:rPr>
          <w:rFonts w:ascii="Times New Roman" w:hAnsi="Times New Roman" w:cs="Times New Roman"/>
          <w:b/>
          <w:sz w:val="20"/>
          <w:szCs w:val="20"/>
        </w:rPr>
        <w:t xml:space="preserve"> in FR1</w:t>
      </w:r>
      <w:r>
        <w:rPr>
          <w:rFonts w:ascii="Times New Roman" w:hAnsi="Times New Roman" w:cs="Times New Roman"/>
          <w:b/>
          <w:sz w:val="20"/>
          <w:szCs w:val="20"/>
        </w:rPr>
        <w:t>, and the neighbour cell</w:t>
      </w:r>
      <w:r w:rsidRPr="009F697A">
        <w:rPr>
          <w:rFonts w:ascii="Times New Roman" w:hAnsi="Times New Roman" w:cs="Times New Roman"/>
          <w:b/>
          <w:sz w:val="20"/>
          <w:szCs w:val="20"/>
        </w:rPr>
        <w:t xml:space="preserve"> </w:t>
      </w:r>
      <w:r>
        <w:rPr>
          <w:rFonts w:ascii="Times New Roman" w:hAnsi="Times New Roman" w:cs="Times New Roman"/>
          <w:b/>
          <w:sz w:val="20"/>
          <w:szCs w:val="20"/>
        </w:rPr>
        <w:t>whose TCI state is activated</w:t>
      </w:r>
      <w:r w:rsidRPr="009F697A">
        <w:rPr>
          <w:rFonts w:ascii="Times New Roman" w:hAnsi="Times New Roman" w:cs="Times New Roman"/>
          <w:b/>
          <w:sz w:val="20"/>
          <w:szCs w:val="20"/>
        </w:rPr>
        <w:t xml:space="preserve"> and </w:t>
      </w:r>
      <w:r>
        <w:rPr>
          <w:rFonts w:ascii="Times New Roman" w:hAnsi="Times New Roman" w:cs="Times New Roman"/>
          <w:b/>
          <w:sz w:val="20"/>
          <w:szCs w:val="20"/>
        </w:rPr>
        <w:t xml:space="preserve">the </w:t>
      </w:r>
      <w:r w:rsidRPr="009F697A">
        <w:rPr>
          <w:rFonts w:ascii="Times New Roman" w:hAnsi="Times New Roman" w:cs="Times New Roman"/>
          <w:b/>
          <w:sz w:val="20"/>
          <w:szCs w:val="20"/>
        </w:rPr>
        <w:t>serving cell</w:t>
      </w:r>
      <w:r>
        <w:rPr>
          <w:rFonts w:ascii="Times New Roman" w:hAnsi="Times New Roman" w:cs="Times New Roman"/>
          <w:b/>
          <w:sz w:val="20"/>
          <w:szCs w:val="20"/>
        </w:rPr>
        <w:t xml:space="preserve"> are prioritized</w:t>
      </w:r>
      <w:r w:rsidRPr="00B51B5D">
        <w:rPr>
          <w:rFonts w:ascii="Times New Roman" w:hAnsi="Times New Roman" w:cs="Times New Roman"/>
          <w:b/>
          <w:sz w:val="20"/>
          <w:szCs w:val="20"/>
        </w:rPr>
        <w:t>.</w:t>
      </w:r>
    </w:p>
    <w:p w:rsidR="009F697A" w:rsidRPr="0071642C" w:rsidRDefault="009F697A" w:rsidP="0071642C">
      <w:pPr>
        <w:pStyle w:val="a7"/>
        <w:numPr>
          <w:ilvl w:val="0"/>
          <w:numId w:val="28"/>
        </w:numPr>
        <w:rPr>
          <w:b/>
          <w:sz w:val="20"/>
          <w:szCs w:val="20"/>
        </w:rPr>
      </w:pPr>
      <w:r w:rsidRPr="0071642C">
        <w:rPr>
          <w:b/>
          <w:sz w:val="20"/>
          <w:szCs w:val="20"/>
        </w:rPr>
        <w:t>When TCI state of neighbor cell is activated, UE performs L1-RSRP measurement on the neighbor cell whose TCI state is activated and the serving cell. UE may measure any other cell(s) based on UE implementation.</w:t>
      </w:r>
    </w:p>
    <w:p w:rsidR="009F697A" w:rsidRPr="009F697A" w:rsidRDefault="009F697A" w:rsidP="009F697A">
      <w:pPr>
        <w:pStyle w:val="a7"/>
        <w:numPr>
          <w:ilvl w:val="0"/>
          <w:numId w:val="27"/>
        </w:numPr>
        <w:spacing w:after="180"/>
        <w:rPr>
          <w:b/>
          <w:sz w:val="20"/>
          <w:szCs w:val="20"/>
        </w:rPr>
      </w:pPr>
      <w:r w:rsidRPr="009F697A">
        <w:rPr>
          <w:b/>
          <w:sz w:val="20"/>
          <w:szCs w:val="20"/>
        </w:rPr>
        <w:t>The measurement period of serving cell is R15/R16 SSB based L1-RSRP measurement period is scaled by 3.</w:t>
      </w:r>
    </w:p>
    <w:p w:rsidR="009F697A" w:rsidRPr="009F697A" w:rsidRDefault="009F697A" w:rsidP="009F697A">
      <w:pPr>
        <w:pStyle w:val="a7"/>
        <w:numPr>
          <w:ilvl w:val="0"/>
          <w:numId w:val="27"/>
        </w:numPr>
        <w:spacing w:after="180"/>
        <w:rPr>
          <w:b/>
          <w:sz w:val="20"/>
          <w:szCs w:val="20"/>
        </w:rPr>
      </w:pPr>
      <w:r w:rsidRPr="009F697A">
        <w:rPr>
          <w:b/>
          <w:sz w:val="20"/>
          <w:szCs w:val="20"/>
        </w:rPr>
        <w:t xml:space="preserve">The measurement period of the neighbor cell whose TCI state is activated is R15/R16 SSB based L1-RSRP measurement period is scaled by 3. </w:t>
      </w:r>
    </w:p>
    <w:p w:rsidR="009F697A" w:rsidRPr="009F697A" w:rsidRDefault="009F697A" w:rsidP="009F697A">
      <w:pPr>
        <w:pStyle w:val="a7"/>
        <w:numPr>
          <w:ilvl w:val="1"/>
          <w:numId w:val="27"/>
        </w:numPr>
        <w:spacing w:after="180"/>
        <w:rPr>
          <w:b/>
          <w:sz w:val="20"/>
          <w:szCs w:val="20"/>
        </w:rPr>
      </w:pPr>
      <w:r w:rsidRPr="009F697A">
        <w:rPr>
          <w:b/>
          <w:sz w:val="20"/>
          <w:szCs w:val="20"/>
        </w:rPr>
        <w:t>Assuming the NW activate TCI state(s) from only one neighbor cell.</w:t>
      </w:r>
    </w:p>
    <w:p w:rsidR="009F697A" w:rsidRPr="009F697A" w:rsidRDefault="009F697A" w:rsidP="009F697A">
      <w:pPr>
        <w:pStyle w:val="a7"/>
        <w:numPr>
          <w:ilvl w:val="0"/>
          <w:numId w:val="27"/>
        </w:numPr>
        <w:spacing w:after="180"/>
        <w:rPr>
          <w:rFonts w:hint="eastAsia"/>
          <w:b/>
          <w:sz w:val="20"/>
          <w:szCs w:val="20"/>
        </w:rPr>
      </w:pPr>
      <w:r w:rsidRPr="009F697A">
        <w:rPr>
          <w:b/>
          <w:sz w:val="20"/>
          <w:szCs w:val="20"/>
        </w:rPr>
        <w:t>For the other neighbor cells: no measurement delay requirements</w:t>
      </w:r>
    </w:p>
    <w:p w:rsidR="009F697A" w:rsidRPr="009F5ACB" w:rsidRDefault="009F697A" w:rsidP="009F5ACB">
      <w:pPr>
        <w:pStyle w:val="a7"/>
        <w:numPr>
          <w:ilvl w:val="0"/>
          <w:numId w:val="28"/>
        </w:numPr>
        <w:rPr>
          <w:b/>
          <w:sz w:val="20"/>
          <w:szCs w:val="20"/>
        </w:rPr>
      </w:pPr>
      <w:r w:rsidRPr="009F5ACB">
        <w:rPr>
          <w:b/>
          <w:sz w:val="20"/>
          <w:szCs w:val="20"/>
        </w:rPr>
        <w:lastRenderedPageBreak/>
        <w:t>When TCI state of neighbor cell is not activated, UE performs L1-RSRP measurement on the neighbor cells and the serving cell.</w:t>
      </w:r>
    </w:p>
    <w:p w:rsidR="009F697A" w:rsidRPr="009F697A" w:rsidRDefault="009F697A" w:rsidP="009F697A">
      <w:pPr>
        <w:pStyle w:val="a7"/>
        <w:numPr>
          <w:ilvl w:val="0"/>
          <w:numId w:val="27"/>
        </w:numPr>
        <w:spacing w:after="180"/>
        <w:rPr>
          <w:b/>
          <w:sz w:val="20"/>
          <w:szCs w:val="20"/>
        </w:rPr>
      </w:pPr>
      <w:r w:rsidRPr="009F697A">
        <w:rPr>
          <w:b/>
          <w:sz w:val="20"/>
          <w:szCs w:val="20"/>
        </w:rPr>
        <w:t>The measurement period of serving cell is R15/R16 SSB based L1-RSRP measurement period is scaled by 3.</w:t>
      </w:r>
    </w:p>
    <w:p w:rsidR="00A01E51" w:rsidRPr="009F697A" w:rsidRDefault="009F697A" w:rsidP="00090FEC">
      <w:pPr>
        <w:pStyle w:val="a7"/>
        <w:numPr>
          <w:ilvl w:val="0"/>
          <w:numId w:val="27"/>
        </w:numPr>
        <w:spacing w:after="180"/>
        <w:rPr>
          <w:rFonts w:hint="eastAsia"/>
          <w:b/>
          <w:sz w:val="20"/>
          <w:szCs w:val="20"/>
        </w:rPr>
      </w:pPr>
      <w:r w:rsidRPr="009F697A">
        <w:rPr>
          <w:b/>
          <w:sz w:val="20"/>
          <w:szCs w:val="20"/>
        </w:rPr>
        <w:t>The measurement period of the neighbor cell is R15/R16 SSB based L1-RSRP measurement period is scaled by 3*(number of neighbor cells).</w:t>
      </w:r>
    </w:p>
    <w:tbl>
      <w:tblPr>
        <w:tblW w:w="832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4"/>
      </w:tblGrid>
      <w:tr w:rsidR="00F14533" w:rsidTr="00F14533">
        <w:trPr>
          <w:trHeight w:val="824"/>
        </w:trPr>
        <w:tc>
          <w:tcPr>
            <w:tcW w:w="8324" w:type="dxa"/>
          </w:tcPr>
          <w:p w:rsidR="00F14533" w:rsidRPr="00F14533" w:rsidRDefault="00F14533" w:rsidP="00F14533">
            <w:pPr>
              <w:spacing w:afterLines="50" w:after="156"/>
              <w:rPr>
                <w:rFonts w:ascii="Times New Roman" w:hAnsi="Times New Roman" w:cs="Times New Roman"/>
                <w:b/>
                <w:sz w:val="20"/>
                <w:szCs w:val="20"/>
              </w:rPr>
            </w:pPr>
            <w:r w:rsidRPr="00F14533">
              <w:rPr>
                <w:rFonts w:ascii="Times New Roman" w:hAnsi="Times New Roman" w:cs="Times New Roman"/>
                <w:b/>
                <w:sz w:val="20"/>
                <w:szCs w:val="20"/>
                <w:u w:val="single"/>
              </w:rPr>
              <w:t xml:space="preserve">Issue 2-3-3-3: Measurement period of intra-frequency L1-RSRP measurement for UE capable of RTD&gt;CP in </w:t>
            </w:r>
            <w:r w:rsidRPr="00F14533">
              <w:rPr>
                <w:rFonts w:ascii="Times New Roman" w:hAnsi="Times New Roman" w:cs="Times New Roman"/>
                <w:b/>
                <w:sz w:val="20"/>
                <w:szCs w:val="20"/>
                <w:highlight w:val="yellow"/>
                <w:u w:val="single"/>
              </w:rPr>
              <w:t>FR1</w:t>
            </w:r>
            <w:r w:rsidRPr="00F14533">
              <w:rPr>
                <w:rFonts w:ascii="Times New Roman" w:hAnsi="Times New Roman" w:cs="Times New Roman"/>
                <w:b/>
                <w:sz w:val="20"/>
                <w:szCs w:val="20"/>
                <w:u w:val="single"/>
              </w:rPr>
              <w:t xml:space="preserve"> if UE performs L1-RSRP measurement on </w:t>
            </w:r>
            <w:r w:rsidRPr="00F14533">
              <w:rPr>
                <w:rFonts w:ascii="Times New Roman" w:hAnsi="Times New Roman" w:cs="Times New Roman"/>
                <w:b/>
                <w:sz w:val="20"/>
                <w:szCs w:val="20"/>
                <w:highlight w:val="yellow"/>
                <w:u w:val="single"/>
              </w:rPr>
              <w:t>multiple</w:t>
            </w:r>
            <w:r w:rsidRPr="00F14533">
              <w:rPr>
                <w:rFonts w:ascii="Times New Roman" w:hAnsi="Times New Roman" w:cs="Times New Roman"/>
                <w:b/>
                <w:sz w:val="20"/>
                <w:szCs w:val="20"/>
                <w:u w:val="single"/>
              </w:rPr>
              <w:t xml:space="preserve"> intra-frequency layer</w:t>
            </w:r>
          </w:p>
          <w:p w:rsidR="00F14533" w:rsidRPr="00F14533" w:rsidRDefault="00F14533" w:rsidP="00F14533">
            <w:pPr>
              <w:rPr>
                <w:rFonts w:ascii="Times New Roman" w:hAnsi="Times New Roman" w:cs="Times New Roman"/>
                <w:b/>
                <w:sz w:val="20"/>
                <w:szCs w:val="20"/>
                <w:u w:val="single"/>
              </w:rPr>
            </w:pPr>
            <w:r w:rsidRPr="00F14533">
              <w:rPr>
                <w:rFonts w:ascii="Times New Roman" w:hAnsi="Times New Roman" w:cs="Times New Roman"/>
                <w:b/>
                <w:sz w:val="20"/>
                <w:szCs w:val="20"/>
              </w:rPr>
              <w:t>&lt; Way Forward &gt;</w:t>
            </w:r>
            <w:r w:rsidRPr="00F14533">
              <w:rPr>
                <w:rFonts w:ascii="Times New Roman" w:hAnsi="Times New Roman" w:cs="Times New Roman"/>
                <w:sz w:val="20"/>
                <w:szCs w:val="20"/>
              </w:rPr>
              <w:t>: FFS the following options</w:t>
            </w:r>
          </w:p>
          <w:p w:rsidR="00F14533" w:rsidRPr="00F14533" w:rsidRDefault="00F14533" w:rsidP="00F14533">
            <w:pPr>
              <w:pStyle w:val="a7"/>
              <w:numPr>
                <w:ilvl w:val="1"/>
                <w:numId w:val="4"/>
              </w:numPr>
              <w:ind w:left="1440"/>
              <w:contextualSpacing w:val="0"/>
              <w:rPr>
                <w:sz w:val="20"/>
                <w:szCs w:val="20"/>
                <w:lang w:eastAsia="zh-CN"/>
              </w:rPr>
            </w:pPr>
            <w:r w:rsidRPr="00F14533">
              <w:rPr>
                <w:sz w:val="20"/>
                <w:szCs w:val="20"/>
                <w:lang w:eastAsia="zh-CN"/>
              </w:rPr>
              <w:t>Option 1 (CATT, CMCC, Huawei, Apple, MTK, QC): For multiple intra-frequency layers, additional scaling factor (i.e., number of intra-frequency layers) is to be scaled on top of measurement period specified for single frequency layer.</w:t>
            </w:r>
          </w:p>
          <w:p w:rsidR="00F14533" w:rsidRPr="00F14533" w:rsidRDefault="00F14533" w:rsidP="00F14533">
            <w:pPr>
              <w:pStyle w:val="a7"/>
              <w:numPr>
                <w:ilvl w:val="1"/>
                <w:numId w:val="4"/>
              </w:numPr>
              <w:ind w:left="1440"/>
              <w:contextualSpacing w:val="0"/>
              <w:rPr>
                <w:sz w:val="20"/>
                <w:szCs w:val="20"/>
                <w:lang w:eastAsia="zh-CN"/>
              </w:rPr>
            </w:pPr>
            <w:r w:rsidRPr="00F14533">
              <w:rPr>
                <w:sz w:val="20"/>
                <w:szCs w:val="20"/>
                <w:lang w:eastAsia="zh-CN"/>
              </w:rPr>
              <w:t xml:space="preserve">Option 2 (vivo): </w:t>
            </w:r>
          </w:p>
          <w:p w:rsidR="00F14533" w:rsidRPr="00F14533" w:rsidRDefault="00F14533" w:rsidP="00F14533">
            <w:pPr>
              <w:pStyle w:val="a7"/>
              <w:numPr>
                <w:ilvl w:val="2"/>
                <w:numId w:val="4"/>
              </w:numPr>
              <w:contextualSpacing w:val="0"/>
              <w:rPr>
                <w:sz w:val="20"/>
                <w:szCs w:val="20"/>
                <w:lang w:eastAsia="zh-CN"/>
              </w:rPr>
            </w:pPr>
            <w:r w:rsidRPr="00F14533">
              <w:rPr>
                <w:sz w:val="20"/>
                <w:szCs w:val="20"/>
                <w:lang w:eastAsia="zh-CN"/>
              </w:rPr>
              <w:t>Not to define RRM requirements for multi-FFT engine based LTM L1 measurement, i.e. UE behaviour #3, in R18. It can be left to UE implementation.</w:t>
            </w:r>
          </w:p>
          <w:p w:rsidR="00F14533" w:rsidRPr="00F14533" w:rsidRDefault="00F14533" w:rsidP="00F14533">
            <w:pPr>
              <w:pStyle w:val="a7"/>
              <w:numPr>
                <w:ilvl w:val="1"/>
                <w:numId w:val="4"/>
              </w:numPr>
              <w:contextualSpacing w:val="0"/>
              <w:rPr>
                <w:sz w:val="20"/>
                <w:szCs w:val="20"/>
                <w:lang w:eastAsia="zh-CN"/>
              </w:rPr>
            </w:pPr>
            <w:r w:rsidRPr="00F14533">
              <w:rPr>
                <w:sz w:val="20"/>
                <w:szCs w:val="20"/>
                <w:lang w:eastAsia="zh-CN"/>
              </w:rPr>
              <w:t>Option 3 (Ericsson):</w:t>
            </w:r>
          </w:p>
          <w:p w:rsidR="00F14533" w:rsidRPr="00F14533" w:rsidRDefault="00F14533" w:rsidP="00F14533">
            <w:pPr>
              <w:pStyle w:val="a7"/>
              <w:numPr>
                <w:ilvl w:val="2"/>
                <w:numId w:val="4"/>
              </w:numPr>
              <w:overflowPunct w:val="0"/>
              <w:autoSpaceDE w:val="0"/>
              <w:autoSpaceDN w:val="0"/>
              <w:adjustRightInd w:val="0"/>
              <w:contextualSpacing w:val="0"/>
              <w:textAlignment w:val="baseline"/>
              <w:rPr>
                <w:sz w:val="20"/>
                <w:szCs w:val="20"/>
                <w:lang w:eastAsia="zh-CN"/>
              </w:rPr>
            </w:pPr>
            <w:r w:rsidRPr="00F14533">
              <w:rPr>
                <w:sz w:val="20"/>
                <w:szCs w:val="20"/>
                <w:lang w:eastAsia="zh-CN"/>
              </w:rPr>
              <w:t>Measurement period requirements are derived from either of the following principle</w:t>
            </w:r>
          </w:p>
          <w:p w:rsidR="00F14533" w:rsidRPr="00F14533" w:rsidRDefault="00F14533" w:rsidP="00F14533">
            <w:pPr>
              <w:pStyle w:val="a7"/>
              <w:numPr>
                <w:ilvl w:val="3"/>
                <w:numId w:val="4"/>
              </w:numPr>
              <w:overflowPunct w:val="0"/>
              <w:autoSpaceDE w:val="0"/>
              <w:autoSpaceDN w:val="0"/>
              <w:adjustRightInd w:val="0"/>
              <w:contextualSpacing w:val="0"/>
              <w:textAlignment w:val="baseline"/>
              <w:rPr>
                <w:sz w:val="20"/>
                <w:szCs w:val="20"/>
                <w:lang w:eastAsia="zh-CN"/>
              </w:rPr>
            </w:pPr>
            <w:r w:rsidRPr="00F14533">
              <w:rPr>
                <w:sz w:val="20"/>
                <w:szCs w:val="20"/>
                <w:lang w:eastAsia="zh-CN"/>
              </w:rPr>
              <w:t xml:space="preserve">Approach 1: When UE receive active TCI state list from the neighbour cell, changing the sharing factor Klayer1_measurement for L3 measurement to 3 and sharing factor P for L1 measurement to 1.5. </w:t>
            </w:r>
          </w:p>
          <w:p w:rsidR="00F14533" w:rsidRPr="00F14533" w:rsidRDefault="00F14533" w:rsidP="00F14533">
            <w:pPr>
              <w:pStyle w:val="a7"/>
              <w:numPr>
                <w:ilvl w:val="3"/>
                <w:numId w:val="4"/>
              </w:numPr>
              <w:overflowPunct w:val="0"/>
              <w:autoSpaceDE w:val="0"/>
              <w:autoSpaceDN w:val="0"/>
              <w:adjustRightInd w:val="0"/>
              <w:contextualSpacing w:val="0"/>
              <w:textAlignment w:val="baseline"/>
              <w:rPr>
                <w:lang w:eastAsia="zh-CN"/>
              </w:rPr>
            </w:pPr>
            <w:r w:rsidRPr="00F14533">
              <w:rPr>
                <w:sz w:val="20"/>
                <w:szCs w:val="20"/>
                <w:lang w:eastAsia="zh-CN"/>
              </w:rPr>
              <w:t>Approach 3: When a neighbour cell’s SSB are indicated in active TCI state list, the cell to be treated as a separate frequency layer to perform measurement</w:t>
            </w:r>
          </w:p>
        </w:tc>
      </w:tr>
    </w:tbl>
    <w:p w:rsidR="00F14533" w:rsidRDefault="00453EAC" w:rsidP="00090FEC">
      <w:pPr>
        <w:spacing w:after="18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L1-RSRP measurement on multiple intra-frequency layers, the scaling factor should not be the number of intra-frequency layer, since the UE may not be able to perform L1-RSRP measurement on all neighbour cells configured in the same intra-frequency layer if the RTD between neighbour cells are larger than CP.</w:t>
      </w:r>
      <w:r w:rsidR="0088256F">
        <w:rPr>
          <w:rFonts w:ascii="Times New Roman" w:hAnsi="Times New Roman" w:cs="Times New Roman"/>
          <w:sz w:val="20"/>
          <w:szCs w:val="20"/>
        </w:rPr>
        <w:t xml:space="preserve"> Instead, the number of neighbour cell</w:t>
      </w:r>
      <w:r w:rsidR="000771DC">
        <w:rPr>
          <w:rFonts w:ascii="Times New Roman" w:hAnsi="Times New Roman" w:cs="Times New Roman"/>
          <w:sz w:val="20"/>
          <w:szCs w:val="20"/>
        </w:rPr>
        <w:t xml:space="preserve"> and the number of spare FFT module</w:t>
      </w:r>
      <w:r w:rsidR="0088256F">
        <w:rPr>
          <w:rFonts w:ascii="Times New Roman" w:hAnsi="Times New Roman" w:cs="Times New Roman"/>
          <w:sz w:val="20"/>
          <w:szCs w:val="20"/>
        </w:rPr>
        <w:t xml:space="preserve"> should be considered </w:t>
      </w:r>
      <w:r w:rsidR="006A3518">
        <w:rPr>
          <w:rFonts w:ascii="Times New Roman" w:hAnsi="Times New Roman" w:cs="Times New Roman"/>
          <w:sz w:val="20"/>
          <w:szCs w:val="20"/>
        </w:rPr>
        <w:t xml:space="preserve">as the scaling factor for defining L1-RSRP measurement delay for multiple intra-frequency layers. As shown in following figure, if the UE has one spare FFT module (e.g. FFT#3) for neighbour cell measurements, and if there are two intra-frequency layers, one single neighbour cell is configured in one intra-frequency layer and two neighbour cells which RTD &gt; CP are configured in the other intra-frequency layer. </w:t>
      </w:r>
      <w:r w:rsidR="00892B67">
        <w:rPr>
          <w:rFonts w:ascii="Times New Roman" w:hAnsi="Times New Roman" w:cs="Times New Roman"/>
          <w:sz w:val="20"/>
          <w:szCs w:val="20"/>
        </w:rPr>
        <w:t>The spare FFT module should be shared among the neighbour cells and t</w:t>
      </w:r>
      <w:r w:rsidR="006A3518">
        <w:rPr>
          <w:rFonts w:ascii="Times New Roman" w:hAnsi="Times New Roman" w:cs="Times New Roman"/>
          <w:sz w:val="20"/>
          <w:szCs w:val="20"/>
        </w:rPr>
        <w:t xml:space="preserve">he scaling factor should be the number of neighbour cells (e.g. 3) instead of number of intra-frequency layers (e.g. 2).  </w:t>
      </w:r>
    </w:p>
    <w:p w:rsidR="00274F03" w:rsidRDefault="005F501E" w:rsidP="005F501E">
      <w:pPr>
        <w:spacing w:after="180"/>
        <w:jc w:val="center"/>
      </w:pPr>
      <w:r>
        <w:object w:dxaOrig="7521" w:dyaOrig="4071">
          <v:shape id="_x0000_i1028" type="#_x0000_t75" style="width:383.3pt;height:207.7pt" o:ole="">
            <v:imagedata r:id="rId14" o:title=""/>
          </v:shape>
          <o:OLEObject Type="Embed" ProgID="Visio.Drawing.15" ShapeID="_x0000_i1028" DrawAspect="Content" ObjectID="_1760544759" r:id="rId15"/>
        </w:object>
      </w:r>
    </w:p>
    <w:p w:rsidR="009F5ACB" w:rsidRDefault="009F5ACB" w:rsidP="009F5ACB">
      <w:pPr>
        <w:spacing w:after="180"/>
        <w:jc w:val="center"/>
        <w:rPr>
          <w:rFonts w:ascii="Times New Roman" w:hAnsi="Times New Roman" w:cs="Times New Roman"/>
          <w:b/>
          <w:sz w:val="20"/>
          <w:szCs w:val="20"/>
        </w:rPr>
      </w:pPr>
      <w:r>
        <w:rPr>
          <w:rFonts w:ascii="Times New Roman" w:hAnsi="Times New Roman" w:cs="Times New Roman"/>
          <w:sz w:val="20"/>
          <w:szCs w:val="20"/>
        </w:rPr>
        <w:t>Figure 3</w:t>
      </w:r>
      <w:r w:rsidRPr="009E758C">
        <w:rPr>
          <w:rFonts w:ascii="Times New Roman" w:hAnsi="Times New Roman" w:cs="Times New Roman"/>
          <w:sz w:val="20"/>
          <w:szCs w:val="20"/>
        </w:rPr>
        <w:t>:</w:t>
      </w:r>
      <w:r>
        <w:rPr>
          <w:rFonts w:ascii="Times New Roman" w:hAnsi="Times New Roman" w:cs="Times New Roman"/>
          <w:sz w:val="20"/>
          <w:szCs w:val="20"/>
        </w:rPr>
        <w:t xml:space="preserve"> L1 measurement on two </w:t>
      </w:r>
      <w:r>
        <w:rPr>
          <w:rFonts w:ascii="Times New Roman" w:hAnsi="Times New Roman" w:cs="Times New Roman"/>
          <w:sz w:val="20"/>
          <w:szCs w:val="20"/>
        </w:rPr>
        <w:t>intra-frequency layer</w:t>
      </w:r>
      <w:r>
        <w:rPr>
          <w:rFonts w:ascii="Times New Roman" w:hAnsi="Times New Roman" w:cs="Times New Roman"/>
          <w:sz w:val="20"/>
          <w:szCs w:val="20"/>
        </w:rPr>
        <w:t xml:space="preserve"> for UE capable of RTD&gt;CP with one spare FFT module</w:t>
      </w:r>
    </w:p>
    <w:p w:rsidR="007A7534" w:rsidRPr="00B51B5D" w:rsidRDefault="003F412B" w:rsidP="007A7534">
      <w:pPr>
        <w:spacing w:after="180"/>
        <w:rPr>
          <w:rFonts w:ascii="Times New Roman" w:hAnsi="Times New Roman" w:cs="Times New Roman"/>
          <w:b/>
          <w:sz w:val="20"/>
          <w:szCs w:val="20"/>
        </w:rPr>
      </w:pPr>
      <w:r>
        <w:rPr>
          <w:rFonts w:ascii="Times New Roman" w:hAnsi="Times New Roman" w:cs="Times New Roman"/>
          <w:b/>
          <w:sz w:val="20"/>
          <w:szCs w:val="20"/>
        </w:rPr>
        <w:t>Observation</w:t>
      </w:r>
      <w:r w:rsidR="007A7534" w:rsidRPr="00B51B5D">
        <w:rPr>
          <w:rFonts w:ascii="Times New Roman" w:hAnsi="Times New Roman" w:cs="Times New Roman"/>
          <w:b/>
          <w:sz w:val="20"/>
          <w:szCs w:val="20"/>
        </w:rPr>
        <w:t xml:space="preserve"> </w:t>
      </w:r>
      <w:r>
        <w:rPr>
          <w:rFonts w:ascii="Times New Roman" w:hAnsi="Times New Roman" w:cs="Times New Roman"/>
          <w:b/>
          <w:sz w:val="20"/>
          <w:szCs w:val="20"/>
        </w:rPr>
        <w:t>2</w:t>
      </w:r>
      <w:r w:rsidR="007A7534" w:rsidRPr="00B51B5D">
        <w:rPr>
          <w:rFonts w:ascii="Times New Roman" w:hAnsi="Times New Roman" w:cs="Times New Roman"/>
          <w:b/>
          <w:sz w:val="20"/>
          <w:szCs w:val="20"/>
        </w:rPr>
        <w:t xml:space="preserve">: </w:t>
      </w:r>
      <w:r w:rsidR="007A7534" w:rsidRPr="007A7534">
        <w:rPr>
          <w:rFonts w:ascii="Times New Roman" w:hAnsi="Times New Roman" w:cs="Times New Roman"/>
          <w:b/>
          <w:sz w:val="20"/>
          <w:szCs w:val="20"/>
        </w:rPr>
        <w:t>For L1-RSRP measurement on multiple intra-frequency layers</w:t>
      </w:r>
      <w:r w:rsidR="000771DC">
        <w:rPr>
          <w:rFonts w:ascii="Times New Roman" w:hAnsi="Times New Roman" w:cs="Times New Roman"/>
          <w:b/>
          <w:sz w:val="20"/>
          <w:szCs w:val="20"/>
        </w:rPr>
        <w:t xml:space="preserve"> in FR1</w:t>
      </w:r>
      <w:r w:rsidR="007A7534" w:rsidRPr="007A7534">
        <w:rPr>
          <w:rFonts w:ascii="Times New Roman" w:hAnsi="Times New Roman" w:cs="Times New Roman"/>
          <w:b/>
          <w:sz w:val="20"/>
          <w:szCs w:val="20"/>
        </w:rPr>
        <w:t xml:space="preserve">, </w:t>
      </w:r>
      <w:r w:rsidRPr="003F412B">
        <w:rPr>
          <w:rFonts w:ascii="Times New Roman" w:hAnsi="Times New Roman" w:cs="Times New Roman"/>
          <w:b/>
          <w:sz w:val="20"/>
          <w:szCs w:val="20"/>
        </w:rPr>
        <w:t>the number of intra-frequency layer</w:t>
      </w:r>
      <w:r w:rsidRPr="003F412B">
        <w:rPr>
          <w:rFonts w:ascii="Times New Roman" w:hAnsi="Times New Roman" w:cs="Times New Roman"/>
          <w:b/>
          <w:sz w:val="20"/>
          <w:szCs w:val="20"/>
        </w:rPr>
        <w:t xml:space="preserve"> </w:t>
      </w:r>
      <w:r>
        <w:rPr>
          <w:rFonts w:ascii="Times New Roman" w:hAnsi="Times New Roman" w:cs="Times New Roman"/>
          <w:b/>
          <w:sz w:val="20"/>
          <w:szCs w:val="20"/>
        </w:rPr>
        <w:t xml:space="preserve">should not be considered as </w:t>
      </w:r>
      <w:r w:rsidRPr="003F412B">
        <w:rPr>
          <w:rFonts w:ascii="Times New Roman" w:hAnsi="Times New Roman" w:cs="Times New Roman"/>
          <w:b/>
          <w:sz w:val="20"/>
          <w:szCs w:val="20"/>
        </w:rPr>
        <w:t>the scaling factor</w:t>
      </w:r>
      <w:r>
        <w:rPr>
          <w:rFonts w:ascii="Times New Roman" w:hAnsi="Times New Roman" w:cs="Times New Roman"/>
          <w:b/>
          <w:sz w:val="20"/>
          <w:szCs w:val="20"/>
        </w:rPr>
        <w:t>, instead,</w:t>
      </w:r>
      <w:r w:rsidRPr="003F412B">
        <w:rPr>
          <w:rFonts w:ascii="Times New Roman" w:hAnsi="Times New Roman" w:cs="Times New Roman"/>
          <w:b/>
          <w:sz w:val="20"/>
          <w:szCs w:val="20"/>
        </w:rPr>
        <w:t xml:space="preserve"> </w:t>
      </w:r>
      <w:r w:rsidR="007A7534" w:rsidRPr="007A7534">
        <w:rPr>
          <w:rFonts w:ascii="Times New Roman" w:hAnsi="Times New Roman" w:cs="Times New Roman"/>
          <w:b/>
          <w:sz w:val="20"/>
          <w:szCs w:val="20"/>
        </w:rPr>
        <w:t xml:space="preserve">the scaling factor should </w:t>
      </w:r>
      <w:r w:rsidR="000771DC">
        <w:rPr>
          <w:rFonts w:ascii="Times New Roman" w:hAnsi="Times New Roman" w:cs="Times New Roman"/>
          <w:b/>
          <w:sz w:val="20"/>
          <w:szCs w:val="20"/>
        </w:rPr>
        <w:t>take</w:t>
      </w:r>
      <w:r w:rsidR="007A7534" w:rsidRPr="007A7534">
        <w:rPr>
          <w:rFonts w:ascii="Times New Roman" w:hAnsi="Times New Roman" w:cs="Times New Roman"/>
          <w:b/>
          <w:sz w:val="20"/>
          <w:szCs w:val="20"/>
        </w:rPr>
        <w:t xml:space="preserve"> the number of </w:t>
      </w:r>
      <w:r w:rsidR="007A7534">
        <w:rPr>
          <w:rFonts w:ascii="Times New Roman" w:hAnsi="Times New Roman" w:cs="Times New Roman"/>
          <w:b/>
          <w:sz w:val="20"/>
          <w:szCs w:val="20"/>
        </w:rPr>
        <w:t>neighbour cell</w:t>
      </w:r>
      <w:r w:rsidR="000771DC">
        <w:rPr>
          <w:rFonts w:ascii="Times New Roman" w:hAnsi="Times New Roman" w:cs="Times New Roman"/>
          <w:b/>
          <w:sz w:val="20"/>
          <w:szCs w:val="20"/>
        </w:rPr>
        <w:t xml:space="preserve"> and the number of spare FFT module into account.</w:t>
      </w:r>
    </w:p>
    <w:p w:rsidR="00274F03" w:rsidRDefault="00080456" w:rsidP="00090FEC">
      <w:pPr>
        <w:spacing w:after="180"/>
        <w:rPr>
          <w:rFonts w:ascii="Times New Roman" w:hAnsi="Times New Roman" w:cs="Times New Roman"/>
          <w:sz w:val="20"/>
          <w:szCs w:val="20"/>
        </w:rPr>
      </w:pPr>
      <w:r>
        <w:rPr>
          <w:rFonts w:ascii="Times New Roman" w:hAnsi="Times New Roman" w:cs="Times New Roman"/>
          <w:sz w:val="20"/>
          <w:szCs w:val="20"/>
        </w:rPr>
        <w:t xml:space="preserve">Similarity, for UE capable of RTD&gt;CP, </w:t>
      </w:r>
      <w:r>
        <w:rPr>
          <w:rFonts w:ascii="Times New Roman" w:hAnsi="Times New Roman" w:cs="Times New Roman"/>
          <w:sz w:val="20"/>
          <w:szCs w:val="20"/>
        </w:rPr>
        <w:t xml:space="preserve">it is </w:t>
      </w:r>
      <w:r>
        <w:rPr>
          <w:rFonts w:ascii="Times New Roman" w:hAnsi="Times New Roman" w:cs="Times New Roman"/>
          <w:sz w:val="20"/>
          <w:szCs w:val="20"/>
        </w:rPr>
        <w:t>beneficial</w:t>
      </w:r>
      <w:r>
        <w:rPr>
          <w:rFonts w:ascii="Times New Roman" w:hAnsi="Times New Roman" w:cs="Times New Roman"/>
          <w:sz w:val="20"/>
          <w:szCs w:val="20"/>
        </w:rPr>
        <w:t xml:space="preserve"> to prioritize </w:t>
      </w:r>
      <w:r>
        <w:rPr>
          <w:rFonts w:ascii="Times New Roman" w:hAnsi="Times New Roman" w:cs="Times New Roman" w:hint="eastAsia"/>
          <w:sz w:val="20"/>
          <w:szCs w:val="20"/>
        </w:rPr>
        <w:t>L</w:t>
      </w:r>
      <w:r>
        <w:rPr>
          <w:rFonts w:ascii="Times New Roman" w:hAnsi="Times New Roman" w:cs="Times New Roman"/>
          <w:sz w:val="20"/>
          <w:szCs w:val="20"/>
        </w:rPr>
        <w:t>1 measu</w:t>
      </w:r>
      <w:r>
        <w:rPr>
          <w:rFonts w:ascii="Times New Roman" w:hAnsi="Times New Roman" w:cs="Times New Roman"/>
          <w:sz w:val="20"/>
          <w:szCs w:val="20"/>
        </w:rPr>
        <w:t xml:space="preserve">rement </w:t>
      </w:r>
      <w:r>
        <w:rPr>
          <w:rFonts w:ascii="Times New Roman" w:hAnsi="Times New Roman" w:cs="Times New Roman"/>
          <w:sz w:val="20"/>
          <w:szCs w:val="20"/>
        </w:rPr>
        <w:t>on the neighbour cell whose TCI state is activated</w:t>
      </w:r>
      <w:r>
        <w:rPr>
          <w:rFonts w:ascii="Times New Roman" w:hAnsi="Times New Roman" w:cs="Times New Roman"/>
          <w:sz w:val="20"/>
          <w:szCs w:val="20"/>
        </w:rPr>
        <w:t xml:space="preserve">. When the number of spare FFT module is </w:t>
      </w:r>
      <w:r w:rsidR="0091493C">
        <w:rPr>
          <w:rFonts w:ascii="Times New Roman" w:hAnsi="Times New Roman" w:cs="Times New Roman"/>
          <w:sz w:val="20"/>
          <w:szCs w:val="20"/>
        </w:rPr>
        <w:t xml:space="preserve">larger than 1, the dedicated FFT module is used for the L1 measurement on neighbour cell whose TCI state is activated, and the legacy SSB based L1-RSRP measurement requirement is applied. And the other FFT module is shared by other neighbour cell(s), and it is up to UE implementation which neighbour cell(s) are selected </w:t>
      </w:r>
      <w:r w:rsidR="005B76D7">
        <w:rPr>
          <w:rFonts w:ascii="Times New Roman" w:hAnsi="Times New Roman" w:cs="Times New Roman"/>
          <w:sz w:val="20"/>
          <w:szCs w:val="20"/>
        </w:rPr>
        <w:t>for L1 measurement, and no requirements are defined for this neighbour cell.</w:t>
      </w:r>
    </w:p>
    <w:p w:rsidR="005B76D7" w:rsidRDefault="005B76D7" w:rsidP="005B76D7">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Pr>
          <w:rFonts w:ascii="Times New Roman" w:hAnsi="Times New Roman" w:cs="Times New Roman"/>
          <w:b/>
          <w:sz w:val="20"/>
          <w:szCs w:val="20"/>
        </w:rPr>
        <w:t>roposal 5</w:t>
      </w:r>
      <w:r w:rsidRPr="00B51B5D">
        <w:rPr>
          <w:rFonts w:ascii="Times New Roman" w:hAnsi="Times New Roman" w:cs="Times New Roman"/>
          <w:b/>
          <w:sz w:val="20"/>
          <w:szCs w:val="20"/>
        </w:rPr>
        <w:t xml:space="preserve">: </w:t>
      </w:r>
      <w:r>
        <w:rPr>
          <w:rFonts w:ascii="Times New Roman" w:hAnsi="Times New Roman" w:cs="Times New Roman"/>
          <w:b/>
          <w:sz w:val="20"/>
          <w:szCs w:val="20"/>
        </w:rPr>
        <w:t xml:space="preserve">For </w:t>
      </w:r>
      <w:r w:rsidRPr="005B76D7">
        <w:rPr>
          <w:rFonts w:ascii="Times New Roman" w:hAnsi="Times New Roman" w:cs="Times New Roman"/>
          <w:b/>
          <w:sz w:val="20"/>
          <w:szCs w:val="20"/>
        </w:rPr>
        <w:t xml:space="preserve">intra-frequency L1-RSRP </w:t>
      </w:r>
      <w:r>
        <w:rPr>
          <w:rFonts w:ascii="Times New Roman" w:hAnsi="Times New Roman" w:cs="Times New Roman"/>
          <w:b/>
          <w:sz w:val="20"/>
          <w:szCs w:val="20"/>
        </w:rPr>
        <w:t>m</w:t>
      </w:r>
      <w:r w:rsidRPr="005B76D7">
        <w:rPr>
          <w:rFonts w:ascii="Times New Roman" w:hAnsi="Times New Roman" w:cs="Times New Roman"/>
          <w:b/>
          <w:sz w:val="20"/>
          <w:szCs w:val="20"/>
        </w:rPr>
        <w:t xml:space="preserve">easurement period </w:t>
      </w:r>
      <w:r>
        <w:rPr>
          <w:rFonts w:ascii="Times New Roman" w:hAnsi="Times New Roman" w:cs="Times New Roman"/>
          <w:b/>
          <w:sz w:val="20"/>
          <w:szCs w:val="20"/>
        </w:rPr>
        <w:t xml:space="preserve">requirement </w:t>
      </w:r>
      <w:r w:rsidRPr="005B76D7">
        <w:rPr>
          <w:rFonts w:ascii="Times New Roman" w:hAnsi="Times New Roman" w:cs="Times New Roman"/>
          <w:b/>
          <w:sz w:val="20"/>
          <w:szCs w:val="20"/>
        </w:rPr>
        <w:t>for UE capable of RTD&gt;CP in FR1</w:t>
      </w:r>
      <w:r>
        <w:rPr>
          <w:rFonts w:ascii="Times New Roman" w:hAnsi="Times New Roman" w:cs="Times New Roman"/>
          <w:b/>
          <w:sz w:val="20"/>
          <w:szCs w:val="20"/>
        </w:rPr>
        <w:t>, the neighbour cell</w:t>
      </w:r>
      <w:r w:rsidRPr="009F697A">
        <w:rPr>
          <w:rFonts w:ascii="Times New Roman" w:hAnsi="Times New Roman" w:cs="Times New Roman"/>
          <w:b/>
          <w:sz w:val="20"/>
          <w:szCs w:val="20"/>
        </w:rPr>
        <w:t xml:space="preserve"> </w:t>
      </w:r>
      <w:r>
        <w:rPr>
          <w:rFonts w:ascii="Times New Roman" w:hAnsi="Times New Roman" w:cs="Times New Roman"/>
          <w:b/>
          <w:sz w:val="20"/>
          <w:szCs w:val="20"/>
        </w:rPr>
        <w:t>whose TCI state is activated</w:t>
      </w:r>
      <w:r w:rsidRPr="009F697A">
        <w:rPr>
          <w:rFonts w:ascii="Times New Roman" w:hAnsi="Times New Roman" w:cs="Times New Roman"/>
          <w:b/>
          <w:sz w:val="20"/>
          <w:szCs w:val="20"/>
        </w:rPr>
        <w:t xml:space="preserve"> and </w:t>
      </w:r>
      <w:r>
        <w:rPr>
          <w:rFonts w:ascii="Times New Roman" w:hAnsi="Times New Roman" w:cs="Times New Roman"/>
          <w:b/>
          <w:sz w:val="20"/>
          <w:szCs w:val="20"/>
        </w:rPr>
        <w:t xml:space="preserve">the </w:t>
      </w:r>
      <w:r w:rsidRPr="009F697A">
        <w:rPr>
          <w:rFonts w:ascii="Times New Roman" w:hAnsi="Times New Roman" w:cs="Times New Roman"/>
          <w:b/>
          <w:sz w:val="20"/>
          <w:szCs w:val="20"/>
        </w:rPr>
        <w:t>serving cell</w:t>
      </w:r>
      <w:r>
        <w:rPr>
          <w:rFonts w:ascii="Times New Roman" w:hAnsi="Times New Roman" w:cs="Times New Roman"/>
          <w:b/>
          <w:sz w:val="20"/>
          <w:szCs w:val="20"/>
        </w:rPr>
        <w:t xml:space="preserve"> are prioritized</w:t>
      </w:r>
      <w:r w:rsidRPr="00B51B5D">
        <w:rPr>
          <w:rFonts w:ascii="Times New Roman" w:hAnsi="Times New Roman" w:cs="Times New Roman"/>
          <w:b/>
          <w:sz w:val="20"/>
          <w:szCs w:val="20"/>
        </w:rPr>
        <w:t>.</w:t>
      </w:r>
    </w:p>
    <w:p w:rsidR="00000000" w:rsidRPr="005B76D7" w:rsidRDefault="007D329A" w:rsidP="005B76D7">
      <w:pPr>
        <w:numPr>
          <w:ilvl w:val="0"/>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When TCI state of neighbor cell is activated, UE performs L1-RSRP measurement on the neighbor cell whose TCI state is activated and the serving cell. UE may measure any other cell(s) based on UE implement</w:t>
      </w:r>
      <w:r w:rsidRPr="005B76D7">
        <w:rPr>
          <w:rFonts w:ascii="Times New Roman" w:hAnsi="Times New Roman" w:cs="Times New Roman"/>
          <w:b/>
          <w:sz w:val="20"/>
          <w:szCs w:val="20"/>
        </w:rPr>
        <w:t>ation.</w:t>
      </w:r>
    </w:p>
    <w:p w:rsidR="00000000" w:rsidRPr="005B76D7" w:rsidRDefault="007D329A" w:rsidP="005B76D7">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The measurement period of serving cell is not scaled, and R15/R16 SSB based L1-RSRP measurement period is applied.</w:t>
      </w:r>
    </w:p>
    <w:p w:rsidR="00000000" w:rsidRPr="005B76D7" w:rsidRDefault="005B76D7" w:rsidP="005B76D7">
      <w:pPr>
        <w:numPr>
          <w:ilvl w:val="1"/>
          <w:numId w:val="29"/>
        </w:numPr>
        <w:spacing w:after="180"/>
        <w:rPr>
          <w:rFonts w:ascii="Times New Roman" w:hAnsi="Times New Roman" w:cs="Times New Roman"/>
          <w:b/>
          <w:sz w:val="20"/>
          <w:szCs w:val="20"/>
        </w:rPr>
      </w:pPr>
      <w:r>
        <w:rPr>
          <w:rFonts w:ascii="Times New Roman" w:hAnsi="Times New Roman" w:cs="Times New Roman"/>
          <w:b/>
          <w:sz w:val="20"/>
          <w:szCs w:val="20"/>
        </w:rPr>
        <w:t xml:space="preserve">The </w:t>
      </w:r>
      <w:r w:rsidRPr="005B76D7">
        <w:rPr>
          <w:rFonts w:ascii="Times New Roman" w:hAnsi="Times New Roman" w:cs="Times New Roman"/>
          <w:b/>
          <w:sz w:val="20"/>
          <w:szCs w:val="20"/>
        </w:rPr>
        <w:t>R15/R16 SSB based L1-RSRP measurement period is applied</w:t>
      </w:r>
      <w:r w:rsidRPr="005B76D7">
        <w:rPr>
          <w:rFonts w:ascii="Times New Roman" w:hAnsi="Times New Roman" w:cs="Times New Roman"/>
          <w:b/>
          <w:sz w:val="20"/>
          <w:szCs w:val="20"/>
        </w:rPr>
        <w:t xml:space="preserve"> </w:t>
      </w:r>
      <w:r>
        <w:rPr>
          <w:rFonts w:ascii="Times New Roman" w:hAnsi="Times New Roman" w:cs="Times New Roman"/>
          <w:b/>
          <w:sz w:val="20"/>
          <w:szCs w:val="20"/>
        </w:rPr>
        <w:t>to t</w:t>
      </w:r>
      <w:r w:rsidR="007D329A" w:rsidRPr="005B76D7">
        <w:rPr>
          <w:rFonts w:ascii="Times New Roman" w:hAnsi="Times New Roman" w:cs="Times New Roman"/>
          <w:b/>
          <w:sz w:val="20"/>
          <w:szCs w:val="20"/>
        </w:rPr>
        <w:t>he measur</w:t>
      </w:r>
      <w:r w:rsidR="007D329A" w:rsidRPr="005B76D7">
        <w:rPr>
          <w:rFonts w:ascii="Times New Roman" w:hAnsi="Times New Roman" w:cs="Times New Roman"/>
          <w:b/>
          <w:sz w:val="20"/>
          <w:szCs w:val="20"/>
        </w:rPr>
        <w:t>ement period of the neighbor cell</w:t>
      </w:r>
      <w:r>
        <w:rPr>
          <w:rFonts w:ascii="Times New Roman" w:hAnsi="Times New Roman" w:cs="Times New Roman"/>
          <w:b/>
          <w:sz w:val="20"/>
          <w:szCs w:val="20"/>
        </w:rPr>
        <w:t xml:space="preserve"> whose TCI state is activated</w:t>
      </w:r>
      <w:r w:rsidR="007D329A" w:rsidRPr="005B76D7">
        <w:rPr>
          <w:rFonts w:ascii="Times New Roman" w:hAnsi="Times New Roman" w:cs="Times New Roman"/>
          <w:b/>
          <w:sz w:val="20"/>
          <w:szCs w:val="20"/>
        </w:rPr>
        <w:t xml:space="preserve">. </w:t>
      </w:r>
    </w:p>
    <w:p w:rsidR="00000000" w:rsidRPr="005B76D7" w:rsidRDefault="007D329A" w:rsidP="005B76D7">
      <w:pPr>
        <w:numPr>
          <w:ilvl w:val="2"/>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Assuming the NW activate TCI state(s) from only one neighbor cell.</w:t>
      </w:r>
    </w:p>
    <w:p w:rsidR="00000000" w:rsidRPr="005B76D7" w:rsidRDefault="007D329A" w:rsidP="005B76D7">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For the other neighbor cells: no measurement delay requirements</w:t>
      </w:r>
    </w:p>
    <w:p w:rsidR="00000000" w:rsidRPr="005B76D7" w:rsidRDefault="007D329A" w:rsidP="005B76D7">
      <w:pPr>
        <w:numPr>
          <w:ilvl w:val="0"/>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When TCI state of neighbor cell is not activated, UE performs L1-R</w:t>
      </w:r>
      <w:r w:rsidRPr="005B76D7">
        <w:rPr>
          <w:rFonts w:ascii="Times New Roman" w:hAnsi="Times New Roman" w:cs="Times New Roman"/>
          <w:b/>
          <w:sz w:val="20"/>
          <w:szCs w:val="20"/>
        </w:rPr>
        <w:t>SRP measurement on the neighbor cells and the serving cell.</w:t>
      </w:r>
    </w:p>
    <w:p w:rsidR="00000000" w:rsidRPr="005B76D7" w:rsidRDefault="007D329A" w:rsidP="005B76D7">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lastRenderedPageBreak/>
        <w:t>The measurement period of serving cell is not scaled, and R15/R16 SSB based L1-RSRP measurement period is applied.</w:t>
      </w:r>
    </w:p>
    <w:p w:rsidR="00000000" w:rsidRPr="005B76D7" w:rsidRDefault="007D329A" w:rsidP="005B76D7">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The measurement period of the neighbor cell is R15/R16 SSB based L1-RSRP measurement period is scaled by ceil(</w:t>
      </w:r>
      <m:oMath>
        <m:f>
          <m:fPr>
            <m:ctrlPr>
              <w:rPr>
                <w:rFonts w:ascii="Cambria Math" w:hAnsi="Cambria Math" w:cs="Times New Roman"/>
                <w:b/>
                <w:i/>
                <w:iCs/>
                <w:sz w:val="20"/>
                <w:szCs w:val="20"/>
              </w:rPr>
            </m:ctrlPr>
          </m:fPr>
          <m:num>
            <m:r>
              <m:rPr>
                <m:sty m:val="bi"/>
              </m:rPr>
              <w:rPr>
                <w:rFonts w:ascii="Cambria Math" w:hAnsi="Cambria Math" w:cs="Times New Roman"/>
                <w:sz w:val="20"/>
                <w:szCs w:val="20"/>
              </w:rPr>
              <m:t>Number of neighbor cell</m:t>
            </m:r>
          </m:num>
          <m:den>
            <m:r>
              <m:rPr>
                <m:sty m:val="bi"/>
              </m:rPr>
              <w:rPr>
                <w:rFonts w:ascii="Cambria Math" w:hAnsi="Cambria Math" w:cs="Times New Roman"/>
                <w:sz w:val="20"/>
                <w:szCs w:val="20"/>
              </w:rPr>
              <m:t>Number of spare FFT module</m:t>
            </m:r>
          </m:den>
        </m:f>
      </m:oMath>
      <w:r w:rsidRPr="005B76D7">
        <w:rPr>
          <w:rFonts w:ascii="Times New Roman" w:hAnsi="Times New Roman" w:cs="Times New Roman"/>
          <w:b/>
          <w:sz w:val="20"/>
          <w:szCs w:val="20"/>
        </w:rPr>
        <w:t xml:space="preserve">). </w:t>
      </w:r>
    </w:p>
    <w:p w:rsidR="00A915F9" w:rsidRPr="007F18A8" w:rsidRDefault="007D329A" w:rsidP="009A671F">
      <w:pPr>
        <w:spacing w:after="180"/>
        <w:rPr>
          <w:rFonts w:ascii="Times New Roman" w:hAnsi="Times New Roman" w:cs="Times New Roman" w:hint="eastAsia"/>
          <w:b/>
          <w:sz w:val="20"/>
          <w:szCs w:val="20"/>
        </w:rPr>
      </w:pPr>
      <w:r w:rsidRPr="005B76D7">
        <w:rPr>
          <w:rFonts w:ascii="Times New Roman" w:hAnsi="Times New Roman" w:cs="Times New Roman"/>
          <w:b/>
          <w:sz w:val="20"/>
          <w:szCs w:val="20"/>
        </w:rPr>
        <w:t xml:space="preserve">Proposal </w:t>
      </w:r>
      <w:r w:rsidR="005B76D7">
        <w:rPr>
          <w:rFonts w:ascii="Times New Roman" w:hAnsi="Times New Roman" w:cs="Times New Roman"/>
          <w:b/>
          <w:sz w:val="20"/>
          <w:szCs w:val="20"/>
        </w:rPr>
        <w:t>6</w:t>
      </w:r>
      <w:r w:rsidRPr="005B76D7">
        <w:rPr>
          <w:rFonts w:ascii="Times New Roman" w:hAnsi="Times New Roman" w:cs="Times New Roman"/>
          <w:b/>
          <w:sz w:val="20"/>
          <w:szCs w:val="20"/>
        </w:rPr>
        <w:t>: If the neighbor cell whose TCI state is activated and other neighbor cells are measured with the same spare FFT module, The measurement period of the neighbor cell whose TCI state is activated is R15/R16 SSB based</w:t>
      </w:r>
      <w:r w:rsidRPr="005B76D7">
        <w:rPr>
          <w:rFonts w:ascii="Times New Roman" w:hAnsi="Times New Roman" w:cs="Times New Roman"/>
          <w:b/>
          <w:sz w:val="20"/>
          <w:szCs w:val="20"/>
        </w:rPr>
        <w:t xml:space="preserve"> L1-RSRP measurement period is scaled by 2.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In this contribution, we discuss the</w:t>
      </w:r>
      <w:r w:rsidR="004711BC">
        <w:rPr>
          <w:rFonts w:ascii="Times New Roman" w:hAnsi="Times New Roman" w:cs="Times New Roman"/>
          <w:sz w:val="20"/>
          <w:szCs w:val="20"/>
        </w:rPr>
        <w:t xml:space="preserve"> intra-frequency </w:t>
      </w:r>
      <w:r w:rsidR="00AF4DD5">
        <w:rPr>
          <w:rFonts w:ascii="Times New Roman" w:hAnsi="Times New Roman" w:cs="Times New Roman"/>
          <w:sz w:val="20"/>
          <w:szCs w:val="20"/>
        </w:rPr>
        <w:t xml:space="preserve">L1-RSRP measurement for </w:t>
      </w:r>
      <w:r w:rsidR="00357956">
        <w:rPr>
          <w:rFonts w:ascii="Times New Roman" w:hAnsi="Times New Roman" w:cs="Times New Roman"/>
          <w:sz w:val="20"/>
          <w:szCs w:val="20"/>
        </w:rPr>
        <w:t>LTM</w:t>
      </w:r>
      <w:r w:rsidR="00AF4DD5">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7F18A8" w:rsidRDefault="007F18A8" w:rsidP="007F18A8">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sidRPr="00B51B5D">
        <w:rPr>
          <w:rFonts w:ascii="Times New Roman" w:hAnsi="Times New Roman" w:cs="Times New Roman"/>
          <w:b/>
          <w:sz w:val="20"/>
          <w:szCs w:val="20"/>
        </w:rPr>
        <w:t>roposal 1: For UE incapable of RTD&gt;CP, it is assumed that no spare FFT module used for intra-frequency L1-RSRP measurement on neighbour cells.</w:t>
      </w:r>
    </w:p>
    <w:p w:rsidR="007F18A8" w:rsidRDefault="007F18A8" w:rsidP="007F18A8">
      <w:pPr>
        <w:spacing w:after="180"/>
        <w:rPr>
          <w:rFonts w:ascii="Times New Roman" w:hAnsi="Times New Roman" w:cs="Times New Roman"/>
          <w:b/>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bservation 1: T</w:t>
      </w:r>
      <w:r w:rsidRPr="00A75BEB">
        <w:rPr>
          <w:rFonts w:ascii="Times New Roman" w:hAnsi="Times New Roman" w:cs="Times New Roman"/>
          <w:b/>
          <w:sz w:val="20"/>
          <w:szCs w:val="20"/>
        </w:rPr>
        <w:t xml:space="preserve">he UE </w:t>
      </w:r>
      <w:r>
        <w:rPr>
          <w:rFonts w:ascii="Times New Roman" w:hAnsi="Times New Roman" w:cs="Times New Roman"/>
          <w:b/>
          <w:sz w:val="20"/>
          <w:szCs w:val="20"/>
        </w:rPr>
        <w:t>is capable of supporting</w:t>
      </w:r>
      <w:r w:rsidRPr="00A75BEB">
        <w:rPr>
          <w:rFonts w:ascii="Times New Roman" w:hAnsi="Times New Roman" w:cs="Times New Roman"/>
          <w:b/>
          <w:sz w:val="20"/>
          <w:szCs w:val="20"/>
        </w:rPr>
        <w:t xml:space="preserve"> RTD&gt;CP, it </w:t>
      </w:r>
      <w:r>
        <w:rPr>
          <w:rFonts w:ascii="Times New Roman" w:hAnsi="Times New Roman" w:cs="Times New Roman"/>
          <w:b/>
          <w:sz w:val="20"/>
          <w:szCs w:val="20"/>
        </w:rPr>
        <w:t xml:space="preserve">does not </w:t>
      </w:r>
      <w:r w:rsidRPr="00A75BEB">
        <w:rPr>
          <w:rFonts w:ascii="Times New Roman" w:hAnsi="Times New Roman" w:cs="Times New Roman"/>
          <w:b/>
          <w:sz w:val="20"/>
          <w:szCs w:val="20"/>
        </w:rPr>
        <w:t>mean the UE can simultaneously measure all the neighbor cells configured in the same intra-frequency layer</w:t>
      </w:r>
      <w:r>
        <w:rPr>
          <w:rFonts w:ascii="Times New Roman" w:hAnsi="Times New Roman" w:cs="Times New Roman"/>
          <w:b/>
          <w:sz w:val="20"/>
          <w:szCs w:val="20"/>
        </w:rPr>
        <w:t>.</w:t>
      </w:r>
    </w:p>
    <w:p w:rsidR="007F18A8" w:rsidRDefault="007F18A8" w:rsidP="007F18A8">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sidRPr="00B51B5D">
        <w:rPr>
          <w:rFonts w:ascii="Times New Roman" w:hAnsi="Times New Roman" w:cs="Times New Roman"/>
          <w:b/>
          <w:sz w:val="20"/>
          <w:szCs w:val="20"/>
        </w:rPr>
        <w:t>roposal 2: For UE capable of RTD&gt;CP, it is assumed that there is at least one spare FFT module used for intra-frequency L1-RSRP measurement on neighbour cells.</w:t>
      </w:r>
    </w:p>
    <w:p w:rsidR="007F18A8" w:rsidRDefault="007F18A8" w:rsidP="007F18A8">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sidRPr="00B51B5D">
        <w:rPr>
          <w:rFonts w:ascii="Times New Roman" w:hAnsi="Times New Roman" w:cs="Times New Roman"/>
          <w:b/>
          <w:sz w:val="20"/>
          <w:szCs w:val="20"/>
        </w:rPr>
        <w:t xml:space="preserve">roposal </w:t>
      </w:r>
      <w:r>
        <w:rPr>
          <w:rFonts w:ascii="Times New Roman" w:hAnsi="Times New Roman" w:cs="Times New Roman"/>
          <w:b/>
          <w:sz w:val="20"/>
          <w:szCs w:val="20"/>
        </w:rPr>
        <w:t>3</w:t>
      </w:r>
      <w:r w:rsidRPr="00B51B5D">
        <w:rPr>
          <w:rFonts w:ascii="Times New Roman" w:hAnsi="Times New Roman" w:cs="Times New Roman"/>
          <w:b/>
          <w:sz w:val="20"/>
          <w:szCs w:val="20"/>
        </w:rPr>
        <w:t xml:space="preserve">: </w:t>
      </w:r>
      <w:r>
        <w:rPr>
          <w:rFonts w:ascii="Times New Roman" w:hAnsi="Times New Roman" w:cs="Times New Roman"/>
          <w:b/>
          <w:sz w:val="20"/>
          <w:szCs w:val="20"/>
        </w:rPr>
        <w:t>In the</w:t>
      </w:r>
      <w:r w:rsidRPr="00B51B5D">
        <w:rPr>
          <w:rFonts w:ascii="Times New Roman" w:hAnsi="Times New Roman" w:cs="Times New Roman"/>
          <w:b/>
          <w:sz w:val="20"/>
          <w:szCs w:val="20"/>
        </w:rPr>
        <w:t xml:space="preserve"> UE </w:t>
      </w:r>
      <w:r>
        <w:rPr>
          <w:rFonts w:ascii="Times New Roman" w:hAnsi="Times New Roman" w:cs="Times New Roman"/>
          <w:b/>
          <w:sz w:val="20"/>
          <w:szCs w:val="20"/>
        </w:rPr>
        <w:t>capability</w:t>
      </w:r>
      <w:r w:rsidRPr="00B51B5D">
        <w:rPr>
          <w:rFonts w:ascii="Times New Roman" w:hAnsi="Times New Roman" w:cs="Times New Roman"/>
          <w:b/>
          <w:sz w:val="20"/>
          <w:szCs w:val="20"/>
        </w:rPr>
        <w:t xml:space="preserve"> of RTD&gt;CP, </w:t>
      </w:r>
      <w:r w:rsidRPr="001B69EE">
        <w:rPr>
          <w:rFonts w:ascii="Times New Roman" w:hAnsi="Times New Roman" w:cs="Times New Roman"/>
          <w:b/>
          <w:sz w:val="20"/>
          <w:szCs w:val="20"/>
        </w:rPr>
        <w:t>it is necessary to indicate the available number of FFT module used for intra-frequency neighbour cell measurement</w:t>
      </w:r>
      <w:r w:rsidRPr="00B51B5D">
        <w:rPr>
          <w:rFonts w:ascii="Times New Roman" w:hAnsi="Times New Roman" w:cs="Times New Roman"/>
          <w:b/>
          <w:sz w:val="20"/>
          <w:szCs w:val="20"/>
        </w:rPr>
        <w:t>.</w:t>
      </w:r>
    </w:p>
    <w:p w:rsidR="007F18A8" w:rsidRDefault="007F18A8" w:rsidP="007F18A8">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Pr>
          <w:rFonts w:ascii="Times New Roman" w:hAnsi="Times New Roman" w:cs="Times New Roman"/>
          <w:b/>
          <w:sz w:val="20"/>
          <w:szCs w:val="20"/>
        </w:rPr>
        <w:t>roposal 4</w:t>
      </w:r>
      <w:r w:rsidRPr="00B51B5D">
        <w:rPr>
          <w:rFonts w:ascii="Times New Roman" w:hAnsi="Times New Roman" w:cs="Times New Roman"/>
          <w:b/>
          <w:sz w:val="20"/>
          <w:szCs w:val="20"/>
        </w:rPr>
        <w:t xml:space="preserve">: </w:t>
      </w:r>
      <w:r>
        <w:rPr>
          <w:rFonts w:ascii="Times New Roman" w:hAnsi="Times New Roman" w:cs="Times New Roman"/>
          <w:b/>
          <w:sz w:val="20"/>
          <w:szCs w:val="20"/>
        </w:rPr>
        <w:t xml:space="preserve">RAN4 to define the measurement delay requirement for </w:t>
      </w:r>
      <w:r w:rsidRPr="009F697A">
        <w:rPr>
          <w:rFonts w:ascii="Times New Roman" w:hAnsi="Times New Roman" w:cs="Times New Roman"/>
          <w:b/>
          <w:sz w:val="20"/>
          <w:szCs w:val="20"/>
        </w:rPr>
        <w:t>UE incapable of RTD&gt;CP when actual RTD&gt;CP</w:t>
      </w:r>
      <w:r>
        <w:rPr>
          <w:rFonts w:ascii="Times New Roman" w:hAnsi="Times New Roman" w:cs="Times New Roman"/>
          <w:b/>
          <w:sz w:val="20"/>
          <w:szCs w:val="20"/>
        </w:rPr>
        <w:t xml:space="preserve"> in FR1, and the neighbour cell</w:t>
      </w:r>
      <w:r w:rsidRPr="009F697A">
        <w:rPr>
          <w:rFonts w:ascii="Times New Roman" w:hAnsi="Times New Roman" w:cs="Times New Roman"/>
          <w:b/>
          <w:sz w:val="20"/>
          <w:szCs w:val="20"/>
        </w:rPr>
        <w:t xml:space="preserve"> </w:t>
      </w:r>
      <w:r>
        <w:rPr>
          <w:rFonts w:ascii="Times New Roman" w:hAnsi="Times New Roman" w:cs="Times New Roman"/>
          <w:b/>
          <w:sz w:val="20"/>
          <w:szCs w:val="20"/>
        </w:rPr>
        <w:t>whose TCI state is activated</w:t>
      </w:r>
      <w:r w:rsidRPr="009F697A">
        <w:rPr>
          <w:rFonts w:ascii="Times New Roman" w:hAnsi="Times New Roman" w:cs="Times New Roman"/>
          <w:b/>
          <w:sz w:val="20"/>
          <w:szCs w:val="20"/>
        </w:rPr>
        <w:t xml:space="preserve"> and </w:t>
      </w:r>
      <w:r>
        <w:rPr>
          <w:rFonts w:ascii="Times New Roman" w:hAnsi="Times New Roman" w:cs="Times New Roman"/>
          <w:b/>
          <w:sz w:val="20"/>
          <w:szCs w:val="20"/>
        </w:rPr>
        <w:t xml:space="preserve">the </w:t>
      </w:r>
      <w:r w:rsidRPr="009F697A">
        <w:rPr>
          <w:rFonts w:ascii="Times New Roman" w:hAnsi="Times New Roman" w:cs="Times New Roman"/>
          <w:b/>
          <w:sz w:val="20"/>
          <w:szCs w:val="20"/>
        </w:rPr>
        <w:t>serving cell</w:t>
      </w:r>
      <w:r>
        <w:rPr>
          <w:rFonts w:ascii="Times New Roman" w:hAnsi="Times New Roman" w:cs="Times New Roman"/>
          <w:b/>
          <w:sz w:val="20"/>
          <w:szCs w:val="20"/>
        </w:rPr>
        <w:t xml:space="preserve"> are prioritized</w:t>
      </w:r>
      <w:r w:rsidRPr="00B51B5D">
        <w:rPr>
          <w:rFonts w:ascii="Times New Roman" w:hAnsi="Times New Roman" w:cs="Times New Roman"/>
          <w:b/>
          <w:sz w:val="20"/>
          <w:szCs w:val="20"/>
        </w:rPr>
        <w:t>.</w:t>
      </w:r>
    </w:p>
    <w:p w:rsidR="007F18A8" w:rsidRPr="0071642C" w:rsidRDefault="007F18A8" w:rsidP="007F18A8">
      <w:pPr>
        <w:pStyle w:val="a7"/>
        <w:numPr>
          <w:ilvl w:val="0"/>
          <w:numId w:val="28"/>
        </w:numPr>
        <w:rPr>
          <w:b/>
          <w:sz w:val="20"/>
          <w:szCs w:val="20"/>
        </w:rPr>
      </w:pPr>
      <w:r w:rsidRPr="0071642C">
        <w:rPr>
          <w:b/>
          <w:sz w:val="20"/>
          <w:szCs w:val="20"/>
        </w:rPr>
        <w:t>When TCI state of neighbor cell is activated, UE performs L1-RSRP measurement on the neighbor cell whose TCI state is activated and the serving cell. UE may measure any other cell(s) based on UE implementation.</w:t>
      </w:r>
    </w:p>
    <w:p w:rsidR="007F18A8" w:rsidRPr="009F697A" w:rsidRDefault="007F18A8" w:rsidP="007F18A8">
      <w:pPr>
        <w:pStyle w:val="a7"/>
        <w:numPr>
          <w:ilvl w:val="0"/>
          <w:numId w:val="27"/>
        </w:numPr>
        <w:spacing w:after="180"/>
        <w:rPr>
          <w:b/>
          <w:sz w:val="20"/>
          <w:szCs w:val="20"/>
        </w:rPr>
      </w:pPr>
      <w:r w:rsidRPr="009F697A">
        <w:rPr>
          <w:b/>
          <w:sz w:val="20"/>
          <w:szCs w:val="20"/>
        </w:rPr>
        <w:t>The measurement period of serving cell is R15/R16 SSB based L1-RSRP measurement period is scaled by 3.</w:t>
      </w:r>
    </w:p>
    <w:p w:rsidR="007F18A8" w:rsidRPr="009F697A" w:rsidRDefault="007F18A8" w:rsidP="007F18A8">
      <w:pPr>
        <w:pStyle w:val="a7"/>
        <w:numPr>
          <w:ilvl w:val="0"/>
          <w:numId w:val="27"/>
        </w:numPr>
        <w:spacing w:after="180"/>
        <w:rPr>
          <w:b/>
          <w:sz w:val="20"/>
          <w:szCs w:val="20"/>
        </w:rPr>
      </w:pPr>
      <w:r w:rsidRPr="009F697A">
        <w:rPr>
          <w:b/>
          <w:sz w:val="20"/>
          <w:szCs w:val="20"/>
        </w:rPr>
        <w:t xml:space="preserve">The measurement period of the neighbor cell whose TCI state is activated is R15/R16 SSB based L1-RSRP measurement period is scaled by 3. </w:t>
      </w:r>
    </w:p>
    <w:p w:rsidR="007F18A8" w:rsidRPr="009F697A" w:rsidRDefault="007F18A8" w:rsidP="007F18A8">
      <w:pPr>
        <w:pStyle w:val="a7"/>
        <w:numPr>
          <w:ilvl w:val="1"/>
          <w:numId w:val="27"/>
        </w:numPr>
        <w:spacing w:after="180"/>
        <w:rPr>
          <w:b/>
          <w:sz w:val="20"/>
          <w:szCs w:val="20"/>
        </w:rPr>
      </w:pPr>
      <w:r w:rsidRPr="009F697A">
        <w:rPr>
          <w:b/>
          <w:sz w:val="20"/>
          <w:szCs w:val="20"/>
        </w:rPr>
        <w:t>Assuming the NW activate TCI state(s) from only one neighbor cell.</w:t>
      </w:r>
    </w:p>
    <w:p w:rsidR="007F18A8" w:rsidRPr="009F697A" w:rsidRDefault="007F18A8" w:rsidP="007F18A8">
      <w:pPr>
        <w:pStyle w:val="a7"/>
        <w:numPr>
          <w:ilvl w:val="0"/>
          <w:numId w:val="27"/>
        </w:numPr>
        <w:spacing w:after="180"/>
        <w:rPr>
          <w:rFonts w:hint="eastAsia"/>
          <w:b/>
          <w:sz w:val="20"/>
          <w:szCs w:val="20"/>
        </w:rPr>
      </w:pPr>
      <w:r w:rsidRPr="009F697A">
        <w:rPr>
          <w:b/>
          <w:sz w:val="20"/>
          <w:szCs w:val="20"/>
        </w:rPr>
        <w:t>For the other neighbor cells: no measurement delay requirements</w:t>
      </w:r>
    </w:p>
    <w:p w:rsidR="007F18A8" w:rsidRPr="009F5ACB" w:rsidRDefault="007F18A8" w:rsidP="007F18A8">
      <w:pPr>
        <w:pStyle w:val="a7"/>
        <w:numPr>
          <w:ilvl w:val="0"/>
          <w:numId w:val="28"/>
        </w:numPr>
        <w:rPr>
          <w:b/>
          <w:sz w:val="20"/>
          <w:szCs w:val="20"/>
        </w:rPr>
      </w:pPr>
      <w:r w:rsidRPr="009F5ACB">
        <w:rPr>
          <w:b/>
          <w:sz w:val="20"/>
          <w:szCs w:val="20"/>
        </w:rPr>
        <w:t>When TCI state of neighbor cell is not activated, UE performs L1-RSRP measurement on the neighbor cells and the serving cell.</w:t>
      </w:r>
    </w:p>
    <w:p w:rsidR="007F18A8" w:rsidRPr="009F697A" w:rsidRDefault="007F18A8" w:rsidP="007F18A8">
      <w:pPr>
        <w:pStyle w:val="a7"/>
        <w:numPr>
          <w:ilvl w:val="0"/>
          <w:numId w:val="27"/>
        </w:numPr>
        <w:spacing w:after="180"/>
        <w:rPr>
          <w:b/>
          <w:sz w:val="20"/>
          <w:szCs w:val="20"/>
        </w:rPr>
      </w:pPr>
      <w:r w:rsidRPr="009F697A">
        <w:rPr>
          <w:b/>
          <w:sz w:val="20"/>
          <w:szCs w:val="20"/>
        </w:rPr>
        <w:t>The measurement period of serving cell is R15/R16 SSB based L1-RSRP measurement period is scaled by 3.</w:t>
      </w:r>
    </w:p>
    <w:p w:rsidR="007F18A8" w:rsidRPr="009F697A" w:rsidRDefault="007F18A8" w:rsidP="007F18A8">
      <w:pPr>
        <w:pStyle w:val="a7"/>
        <w:numPr>
          <w:ilvl w:val="0"/>
          <w:numId w:val="27"/>
        </w:numPr>
        <w:spacing w:after="180"/>
        <w:rPr>
          <w:rFonts w:hint="eastAsia"/>
          <w:b/>
          <w:sz w:val="20"/>
          <w:szCs w:val="20"/>
        </w:rPr>
      </w:pPr>
      <w:r w:rsidRPr="009F697A">
        <w:rPr>
          <w:b/>
          <w:sz w:val="20"/>
          <w:szCs w:val="20"/>
        </w:rPr>
        <w:t>The measurement period of the neighbor cell is R15/R16 SSB based L1-RSRP measurement period is scaled by 3*(number of neighbor cells).</w:t>
      </w:r>
    </w:p>
    <w:p w:rsidR="007F18A8" w:rsidRPr="007F18A8" w:rsidRDefault="007F18A8" w:rsidP="007F18A8">
      <w:pPr>
        <w:spacing w:after="180"/>
        <w:rPr>
          <w:rFonts w:ascii="Times New Roman" w:hAnsi="Times New Roman" w:cs="Times New Roman"/>
          <w:b/>
          <w:sz w:val="20"/>
          <w:szCs w:val="20"/>
        </w:rPr>
      </w:pPr>
      <w:r w:rsidRPr="007F18A8">
        <w:rPr>
          <w:rFonts w:ascii="Times New Roman" w:hAnsi="Times New Roman" w:cs="Times New Roman"/>
          <w:b/>
          <w:sz w:val="20"/>
          <w:szCs w:val="20"/>
        </w:rPr>
        <w:t xml:space="preserve">Observation 2: For L1-RSRP measurement on multiple intra-frequency layers in FR1, the number </w:t>
      </w:r>
      <w:r w:rsidRPr="007F18A8">
        <w:rPr>
          <w:rFonts w:ascii="Times New Roman" w:hAnsi="Times New Roman" w:cs="Times New Roman"/>
          <w:b/>
          <w:sz w:val="20"/>
          <w:szCs w:val="20"/>
        </w:rPr>
        <w:lastRenderedPageBreak/>
        <w:t>of intra-frequency layer should not be considered as the scaling factor, instead, the scaling factor should take the number of neighbour cell and the number of spare FFT module into account.</w:t>
      </w:r>
    </w:p>
    <w:p w:rsidR="007F18A8" w:rsidRDefault="007F18A8" w:rsidP="007F18A8">
      <w:pPr>
        <w:spacing w:after="180"/>
        <w:rPr>
          <w:rFonts w:ascii="Times New Roman" w:hAnsi="Times New Roman" w:cs="Times New Roman"/>
          <w:b/>
          <w:sz w:val="20"/>
          <w:szCs w:val="20"/>
        </w:rPr>
      </w:pPr>
      <w:r w:rsidRPr="00B51B5D">
        <w:rPr>
          <w:rFonts w:ascii="Times New Roman" w:hAnsi="Times New Roman" w:cs="Times New Roman" w:hint="eastAsia"/>
          <w:b/>
          <w:sz w:val="20"/>
          <w:szCs w:val="20"/>
        </w:rPr>
        <w:t>P</w:t>
      </w:r>
      <w:r>
        <w:rPr>
          <w:rFonts w:ascii="Times New Roman" w:hAnsi="Times New Roman" w:cs="Times New Roman"/>
          <w:b/>
          <w:sz w:val="20"/>
          <w:szCs w:val="20"/>
        </w:rPr>
        <w:t>roposal 5</w:t>
      </w:r>
      <w:r w:rsidRPr="00B51B5D">
        <w:rPr>
          <w:rFonts w:ascii="Times New Roman" w:hAnsi="Times New Roman" w:cs="Times New Roman"/>
          <w:b/>
          <w:sz w:val="20"/>
          <w:szCs w:val="20"/>
        </w:rPr>
        <w:t xml:space="preserve">: </w:t>
      </w:r>
      <w:r>
        <w:rPr>
          <w:rFonts w:ascii="Times New Roman" w:hAnsi="Times New Roman" w:cs="Times New Roman"/>
          <w:b/>
          <w:sz w:val="20"/>
          <w:szCs w:val="20"/>
        </w:rPr>
        <w:t xml:space="preserve">For </w:t>
      </w:r>
      <w:r w:rsidRPr="005B76D7">
        <w:rPr>
          <w:rFonts w:ascii="Times New Roman" w:hAnsi="Times New Roman" w:cs="Times New Roman"/>
          <w:b/>
          <w:sz w:val="20"/>
          <w:szCs w:val="20"/>
        </w:rPr>
        <w:t xml:space="preserve">intra-frequency L1-RSRP </w:t>
      </w:r>
      <w:r>
        <w:rPr>
          <w:rFonts w:ascii="Times New Roman" w:hAnsi="Times New Roman" w:cs="Times New Roman"/>
          <w:b/>
          <w:sz w:val="20"/>
          <w:szCs w:val="20"/>
        </w:rPr>
        <w:t>m</w:t>
      </w:r>
      <w:r w:rsidRPr="005B76D7">
        <w:rPr>
          <w:rFonts w:ascii="Times New Roman" w:hAnsi="Times New Roman" w:cs="Times New Roman"/>
          <w:b/>
          <w:sz w:val="20"/>
          <w:szCs w:val="20"/>
        </w:rPr>
        <w:t xml:space="preserve">easurement period </w:t>
      </w:r>
      <w:r>
        <w:rPr>
          <w:rFonts w:ascii="Times New Roman" w:hAnsi="Times New Roman" w:cs="Times New Roman"/>
          <w:b/>
          <w:sz w:val="20"/>
          <w:szCs w:val="20"/>
        </w:rPr>
        <w:t xml:space="preserve">requirement </w:t>
      </w:r>
      <w:r w:rsidRPr="005B76D7">
        <w:rPr>
          <w:rFonts w:ascii="Times New Roman" w:hAnsi="Times New Roman" w:cs="Times New Roman"/>
          <w:b/>
          <w:sz w:val="20"/>
          <w:szCs w:val="20"/>
        </w:rPr>
        <w:t>for UE capable of RTD&gt;CP in FR1</w:t>
      </w:r>
      <w:r>
        <w:rPr>
          <w:rFonts w:ascii="Times New Roman" w:hAnsi="Times New Roman" w:cs="Times New Roman"/>
          <w:b/>
          <w:sz w:val="20"/>
          <w:szCs w:val="20"/>
        </w:rPr>
        <w:t>, the neighbour cell</w:t>
      </w:r>
      <w:r w:rsidRPr="009F697A">
        <w:rPr>
          <w:rFonts w:ascii="Times New Roman" w:hAnsi="Times New Roman" w:cs="Times New Roman"/>
          <w:b/>
          <w:sz w:val="20"/>
          <w:szCs w:val="20"/>
        </w:rPr>
        <w:t xml:space="preserve"> </w:t>
      </w:r>
      <w:r>
        <w:rPr>
          <w:rFonts w:ascii="Times New Roman" w:hAnsi="Times New Roman" w:cs="Times New Roman"/>
          <w:b/>
          <w:sz w:val="20"/>
          <w:szCs w:val="20"/>
        </w:rPr>
        <w:t>whose TCI state is activated</w:t>
      </w:r>
      <w:r w:rsidRPr="009F697A">
        <w:rPr>
          <w:rFonts w:ascii="Times New Roman" w:hAnsi="Times New Roman" w:cs="Times New Roman"/>
          <w:b/>
          <w:sz w:val="20"/>
          <w:szCs w:val="20"/>
        </w:rPr>
        <w:t xml:space="preserve"> and </w:t>
      </w:r>
      <w:r>
        <w:rPr>
          <w:rFonts w:ascii="Times New Roman" w:hAnsi="Times New Roman" w:cs="Times New Roman"/>
          <w:b/>
          <w:sz w:val="20"/>
          <w:szCs w:val="20"/>
        </w:rPr>
        <w:t xml:space="preserve">the </w:t>
      </w:r>
      <w:r w:rsidRPr="009F697A">
        <w:rPr>
          <w:rFonts w:ascii="Times New Roman" w:hAnsi="Times New Roman" w:cs="Times New Roman"/>
          <w:b/>
          <w:sz w:val="20"/>
          <w:szCs w:val="20"/>
        </w:rPr>
        <w:t>serving cell</w:t>
      </w:r>
      <w:r>
        <w:rPr>
          <w:rFonts w:ascii="Times New Roman" w:hAnsi="Times New Roman" w:cs="Times New Roman"/>
          <w:b/>
          <w:sz w:val="20"/>
          <w:szCs w:val="20"/>
        </w:rPr>
        <w:t xml:space="preserve"> are prioritized</w:t>
      </w:r>
      <w:r w:rsidRPr="00B51B5D">
        <w:rPr>
          <w:rFonts w:ascii="Times New Roman" w:hAnsi="Times New Roman" w:cs="Times New Roman"/>
          <w:b/>
          <w:sz w:val="20"/>
          <w:szCs w:val="20"/>
        </w:rPr>
        <w:t>.</w:t>
      </w:r>
    </w:p>
    <w:p w:rsidR="007F18A8" w:rsidRPr="005B76D7" w:rsidRDefault="007F18A8" w:rsidP="007F18A8">
      <w:pPr>
        <w:numPr>
          <w:ilvl w:val="0"/>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When TCI state of neighbor cell is activated, UE performs L1-RSRP measurement on the neighbor cell whose TCI state is activated and the serving cell. UE may measure any other cell(s) based on UE implementation.</w:t>
      </w:r>
    </w:p>
    <w:p w:rsidR="007F18A8" w:rsidRPr="005B76D7" w:rsidRDefault="007F18A8" w:rsidP="007F18A8">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The measurement period of serving cell is not scaled, and R15/R16 SSB based L1-RSRP measurement period is applied.</w:t>
      </w:r>
    </w:p>
    <w:p w:rsidR="007F18A8" w:rsidRPr="005B76D7" w:rsidRDefault="007F18A8" w:rsidP="007F18A8">
      <w:pPr>
        <w:numPr>
          <w:ilvl w:val="1"/>
          <w:numId w:val="29"/>
        </w:numPr>
        <w:spacing w:after="180"/>
        <w:rPr>
          <w:rFonts w:ascii="Times New Roman" w:hAnsi="Times New Roman" w:cs="Times New Roman"/>
          <w:b/>
          <w:sz w:val="20"/>
          <w:szCs w:val="20"/>
        </w:rPr>
      </w:pPr>
      <w:r>
        <w:rPr>
          <w:rFonts w:ascii="Times New Roman" w:hAnsi="Times New Roman" w:cs="Times New Roman"/>
          <w:b/>
          <w:sz w:val="20"/>
          <w:szCs w:val="20"/>
        </w:rPr>
        <w:t xml:space="preserve">The </w:t>
      </w:r>
      <w:r w:rsidRPr="005B76D7">
        <w:rPr>
          <w:rFonts w:ascii="Times New Roman" w:hAnsi="Times New Roman" w:cs="Times New Roman"/>
          <w:b/>
          <w:sz w:val="20"/>
          <w:szCs w:val="20"/>
        </w:rPr>
        <w:t xml:space="preserve">R15/R16 SSB based L1-RSRP measurement period is applied </w:t>
      </w:r>
      <w:r>
        <w:rPr>
          <w:rFonts w:ascii="Times New Roman" w:hAnsi="Times New Roman" w:cs="Times New Roman"/>
          <w:b/>
          <w:sz w:val="20"/>
          <w:szCs w:val="20"/>
        </w:rPr>
        <w:t>to t</w:t>
      </w:r>
      <w:r w:rsidRPr="005B76D7">
        <w:rPr>
          <w:rFonts w:ascii="Times New Roman" w:hAnsi="Times New Roman" w:cs="Times New Roman"/>
          <w:b/>
          <w:sz w:val="20"/>
          <w:szCs w:val="20"/>
        </w:rPr>
        <w:t>he measurement period of the neighbor cell</w:t>
      </w:r>
      <w:r>
        <w:rPr>
          <w:rFonts w:ascii="Times New Roman" w:hAnsi="Times New Roman" w:cs="Times New Roman"/>
          <w:b/>
          <w:sz w:val="20"/>
          <w:szCs w:val="20"/>
        </w:rPr>
        <w:t xml:space="preserve"> whose TCI state is activated</w:t>
      </w:r>
      <w:r w:rsidRPr="005B76D7">
        <w:rPr>
          <w:rFonts w:ascii="Times New Roman" w:hAnsi="Times New Roman" w:cs="Times New Roman"/>
          <w:b/>
          <w:sz w:val="20"/>
          <w:szCs w:val="20"/>
        </w:rPr>
        <w:t xml:space="preserve">. </w:t>
      </w:r>
    </w:p>
    <w:p w:rsidR="007F18A8" w:rsidRPr="005B76D7" w:rsidRDefault="007F18A8" w:rsidP="007F18A8">
      <w:pPr>
        <w:numPr>
          <w:ilvl w:val="2"/>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Assuming the NW activate TCI state(s) from only one neighbor cell.</w:t>
      </w:r>
    </w:p>
    <w:p w:rsidR="007F18A8" w:rsidRPr="005B76D7" w:rsidRDefault="007F18A8" w:rsidP="007F18A8">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For the other neighbor cells: no measurement delay requirements</w:t>
      </w:r>
    </w:p>
    <w:p w:rsidR="007F18A8" w:rsidRPr="005B76D7" w:rsidRDefault="007F18A8" w:rsidP="007F18A8">
      <w:pPr>
        <w:numPr>
          <w:ilvl w:val="0"/>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When TCI state of neighbor cell is not activated, UE performs L1-RSRP measurement on the neighbor cells and the serving cell.</w:t>
      </w:r>
    </w:p>
    <w:p w:rsidR="007F18A8" w:rsidRPr="005B76D7" w:rsidRDefault="007F18A8" w:rsidP="007F18A8">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The measurement period of serving cell is not scaled, and R15/R16 SSB based L1-RSRP measurement period is applied.</w:t>
      </w:r>
    </w:p>
    <w:p w:rsidR="007F18A8" w:rsidRPr="005B76D7" w:rsidRDefault="007F18A8" w:rsidP="007F18A8">
      <w:pPr>
        <w:numPr>
          <w:ilvl w:val="1"/>
          <w:numId w:val="29"/>
        </w:numPr>
        <w:spacing w:after="180"/>
        <w:rPr>
          <w:rFonts w:ascii="Times New Roman" w:hAnsi="Times New Roman" w:cs="Times New Roman"/>
          <w:b/>
          <w:sz w:val="20"/>
          <w:szCs w:val="20"/>
        </w:rPr>
      </w:pPr>
      <w:r w:rsidRPr="005B76D7">
        <w:rPr>
          <w:rFonts w:ascii="Times New Roman" w:hAnsi="Times New Roman" w:cs="Times New Roman"/>
          <w:b/>
          <w:sz w:val="20"/>
          <w:szCs w:val="20"/>
        </w:rPr>
        <w:t>The measurement period of the neighbor cell is R15/R16 SSB based L1-RSRP measurement period is scaled by ceil(</w:t>
      </w:r>
      <m:oMath>
        <m:f>
          <m:fPr>
            <m:ctrlPr>
              <w:rPr>
                <w:rFonts w:ascii="Cambria Math" w:hAnsi="Cambria Math" w:cs="Times New Roman"/>
                <w:b/>
                <w:i/>
                <w:iCs/>
                <w:sz w:val="20"/>
                <w:szCs w:val="20"/>
              </w:rPr>
            </m:ctrlPr>
          </m:fPr>
          <m:num>
            <m:r>
              <m:rPr>
                <m:sty m:val="bi"/>
              </m:rPr>
              <w:rPr>
                <w:rFonts w:ascii="Cambria Math" w:hAnsi="Cambria Math" w:cs="Times New Roman"/>
                <w:sz w:val="20"/>
                <w:szCs w:val="20"/>
              </w:rPr>
              <m:t>Number of neighbor cell</m:t>
            </m:r>
          </m:num>
          <m:den>
            <m:r>
              <m:rPr>
                <m:sty m:val="bi"/>
              </m:rPr>
              <w:rPr>
                <w:rFonts w:ascii="Cambria Math" w:hAnsi="Cambria Math" w:cs="Times New Roman"/>
                <w:sz w:val="20"/>
                <w:szCs w:val="20"/>
              </w:rPr>
              <m:t>Number of spare FFT module</m:t>
            </m:r>
          </m:den>
        </m:f>
      </m:oMath>
      <w:r w:rsidRPr="005B76D7">
        <w:rPr>
          <w:rFonts w:ascii="Times New Roman" w:hAnsi="Times New Roman" w:cs="Times New Roman"/>
          <w:b/>
          <w:sz w:val="20"/>
          <w:szCs w:val="20"/>
        </w:rPr>
        <w:t xml:space="preserve">). </w:t>
      </w:r>
    </w:p>
    <w:p w:rsidR="007F18A8" w:rsidRPr="007F18A8" w:rsidRDefault="007F18A8" w:rsidP="00540F41">
      <w:pPr>
        <w:spacing w:after="180"/>
        <w:rPr>
          <w:rFonts w:ascii="Times New Roman" w:hAnsi="Times New Roman" w:cs="Times New Roman" w:hint="eastAsia"/>
          <w:b/>
          <w:sz w:val="20"/>
          <w:szCs w:val="20"/>
        </w:rPr>
      </w:pPr>
      <w:r w:rsidRPr="005B76D7">
        <w:rPr>
          <w:rFonts w:ascii="Times New Roman" w:hAnsi="Times New Roman" w:cs="Times New Roman"/>
          <w:b/>
          <w:sz w:val="20"/>
          <w:szCs w:val="20"/>
        </w:rPr>
        <w:t xml:space="preserve">Proposal </w:t>
      </w:r>
      <w:r>
        <w:rPr>
          <w:rFonts w:ascii="Times New Roman" w:hAnsi="Times New Roman" w:cs="Times New Roman"/>
          <w:b/>
          <w:sz w:val="20"/>
          <w:szCs w:val="20"/>
        </w:rPr>
        <w:t>6</w:t>
      </w:r>
      <w:r w:rsidRPr="005B76D7">
        <w:rPr>
          <w:rFonts w:ascii="Times New Roman" w:hAnsi="Times New Roman" w:cs="Times New Roman"/>
          <w:b/>
          <w:sz w:val="20"/>
          <w:szCs w:val="20"/>
        </w:rPr>
        <w:t xml:space="preserve">: If the neighbor cell whose TCI state is activated and other neighbor cells are measured with the same spare FFT module, The measurement period of the neighbor cell whose TCI state is activated is R15/R16 SSB based L1-RSRP measurement period is scaled by 2.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C27F7E">
        <w:rPr>
          <w:rFonts w:ascii="Times New Roman" w:hAnsi="Times New Roman" w:cs="Times New Roman"/>
          <w:sz w:val="20"/>
          <w:szCs w:val="20"/>
        </w:rPr>
        <w:t>R4-</w:t>
      </w:r>
      <w:r w:rsidR="00626CC6">
        <w:rPr>
          <w:rFonts w:ascii="Times New Roman" w:hAnsi="Times New Roman" w:cs="Times New Roman"/>
          <w:sz w:val="20"/>
          <w:szCs w:val="20"/>
        </w:rPr>
        <w:t>23</w:t>
      </w:r>
      <w:r w:rsidR="0072431E">
        <w:rPr>
          <w:rFonts w:ascii="Times New Roman" w:hAnsi="Times New Roman" w:cs="Times New Roman"/>
          <w:sz w:val="20"/>
          <w:szCs w:val="20"/>
        </w:rPr>
        <w:t>1</w:t>
      </w:r>
      <w:r w:rsidR="007F18A8">
        <w:rPr>
          <w:rFonts w:ascii="Times New Roman" w:hAnsi="Times New Roman" w:cs="Times New Roman"/>
          <w:sz w:val="20"/>
          <w:szCs w:val="20"/>
        </w:rPr>
        <w:t>7330</w:t>
      </w:r>
      <w:r w:rsidR="00C27F7E">
        <w:rPr>
          <w:rFonts w:ascii="Times New Roman" w:hAnsi="Times New Roman" w:cs="Times New Roman"/>
          <w:sz w:val="20"/>
          <w:szCs w:val="20"/>
        </w:rPr>
        <w:tab/>
      </w:r>
      <w:r w:rsidR="0072431E" w:rsidRPr="0072431E">
        <w:rPr>
          <w:rFonts w:ascii="Times New Roman" w:hAnsi="Times New Roman" w:cs="Times New Roman"/>
          <w:sz w:val="20"/>
          <w:szCs w:val="20"/>
        </w:rPr>
        <w:t>WF on NR mobility enhancements (part 1)</w:t>
      </w:r>
      <w:r w:rsidR="00C27F7E" w:rsidRPr="00076628">
        <w:rPr>
          <w:rFonts w:ascii="Times New Roman" w:hAnsi="Times New Roman" w:cs="Times New Roman"/>
          <w:sz w:val="20"/>
          <w:szCs w:val="20"/>
        </w:rPr>
        <w:t>,</w:t>
      </w:r>
      <w:r w:rsidR="00C27F7E">
        <w:rPr>
          <w:rFonts w:ascii="Times New Roman" w:hAnsi="Times New Roman" w:cs="Times New Roman"/>
          <w:sz w:val="20"/>
          <w:szCs w:val="20"/>
        </w:rPr>
        <w:tab/>
        <w:t>MediaTek</w:t>
      </w:r>
    </w:p>
    <w:p w:rsidR="00731B08" w:rsidRPr="0019572A" w:rsidRDefault="00731B08" w:rsidP="00731B08">
      <w:pPr>
        <w:rPr>
          <w:lang w:val="en-GB" w:eastAsia="en-US"/>
        </w:rPr>
      </w:pPr>
    </w:p>
    <w:sectPr w:rsidR="00731B08" w:rsidRPr="00195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29A" w:rsidRDefault="007D329A" w:rsidP="0054389C">
      <w:r>
        <w:separator/>
      </w:r>
    </w:p>
  </w:endnote>
  <w:endnote w:type="continuationSeparator" w:id="0">
    <w:p w:rsidR="007D329A" w:rsidRDefault="007D329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29A" w:rsidRDefault="007D329A" w:rsidP="0054389C">
      <w:r>
        <w:separator/>
      </w:r>
    </w:p>
  </w:footnote>
  <w:footnote w:type="continuationSeparator" w:id="0">
    <w:p w:rsidR="007D329A" w:rsidRDefault="007D329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F926CA"/>
    <w:multiLevelType w:val="hybridMultilevel"/>
    <w:tmpl w:val="3072E762"/>
    <w:lvl w:ilvl="0" w:tplc="255699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85841"/>
    <w:multiLevelType w:val="hybridMultilevel"/>
    <w:tmpl w:val="E2B4A2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7F4470E">
      <w:start w:val="9"/>
      <w:numFmt w:val="bullet"/>
      <w:lvlText w:val="-"/>
      <w:lvlJc w:val="left"/>
      <w:pPr>
        <w:ind w:left="1680" w:hanging="420"/>
      </w:pPr>
      <w:rPr>
        <w:rFonts w:ascii="Arial" w:eastAsia="Malgun Gothic"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904A80"/>
    <w:multiLevelType w:val="hybridMultilevel"/>
    <w:tmpl w:val="8E6642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78199A">
      <w:numFmt w:val="bullet"/>
      <w:lvlText w:val=""/>
      <w:lvlJc w:val="left"/>
      <w:pPr>
        <w:ind w:left="1680" w:hanging="420"/>
      </w:pPr>
      <w:rPr>
        <w:rFonts w:ascii="Symbol" w:eastAsia="Batang"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EE237EB"/>
    <w:multiLevelType w:val="hybridMultilevel"/>
    <w:tmpl w:val="DC263240"/>
    <w:lvl w:ilvl="0" w:tplc="3278B4F8">
      <w:start w:val="1"/>
      <w:numFmt w:val="bullet"/>
      <w:lvlText w:val="•"/>
      <w:lvlJc w:val="left"/>
      <w:pPr>
        <w:tabs>
          <w:tab w:val="num" w:pos="720"/>
        </w:tabs>
        <w:ind w:left="720" w:hanging="360"/>
      </w:pPr>
      <w:rPr>
        <w:rFonts w:ascii="宋体" w:hAnsi="宋体" w:hint="default"/>
      </w:rPr>
    </w:lvl>
    <w:lvl w:ilvl="1" w:tplc="371CBFA8">
      <w:start w:val="1"/>
      <w:numFmt w:val="bullet"/>
      <w:lvlText w:val="•"/>
      <w:lvlJc w:val="left"/>
      <w:pPr>
        <w:tabs>
          <w:tab w:val="num" w:pos="1440"/>
        </w:tabs>
        <w:ind w:left="1440" w:hanging="360"/>
      </w:pPr>
      <w:rPr>
        <w:rFonts w:ascii="宋体" w:hAnsi="宋体" w:hint="default"/>
      </w:rPr>
    </w:lvl>
    <w:lvl w:ilvl="2" w:tplc="1C042E48" w:tentative="1">
      <w:start w:val="1"/>
      <w:numFmt w:val="bullet"/>
      <w:lvlText w:val="•"/>
      <w:lvlJc w:val="left"/>
      <w:pPr>
        <w:tabs>
          <w:tab w:val="num" w:pos="2160"/>
        </w:tabs>
        <w:ind w:left="2160" w:hanging="360"/>
      </w:pPr>
      <w:rPr>
        <w:rFonts w:ascii="宋体" w:hAnsi="宋体" w:hint="default"/>
      </w:rPr>
    </w:lvl>
    <w:lvl w:ilvl="3" w:tplc="E4AE817E" w:tentative="1">
      <w:start w:val="1"/>
      <w:numFmt w:val="bullet"/>
      <w:lvlText w:val="•"/>
      <w:lvlJc w:val="left"/>
      <w:pPr>
        <w:tabs>
          <w:tab w:val="num" w:pos="2880"/>
        </w:tabs>
        <w:ind w:left="2880" w:hanging="360"/>
      </w:pPr>
      <w:rPr>
        <w:rFonts w:ascii="宋体" w:hAnsi="宋体" w:hint="default"/>
      </w:rPr>
    </w:lvl>
    <w:lvl w:ilvl="4" w:tplc="5464D534" w:tentative="1">
      <w:start w:val="1"/>
      <w:numFmt w:val="bullet"/>
      <w:lvlText w:val="•"/>
      <w:lvlJc w:val="left"/>
      <w:pPr>
        <w:tabs>
          <w:tab w:val="num" w:pos="3600"/>
        </w:tabs>
        <w:ind w:left="3600" w:hanging="360"/>
      </w:pPr>
      <w:rPr>
        <w:rFonts w:ascii="宋体" w:hAnsi="宋体" w:hint="default"/>
      </w:rPr>
    </w:lvl>
    <w:lvl w:ilvl="5" w:tplc="CD864050" w:tentative="1">
      <w:start w:val="1"/>
      <w:numFmt w:val="bullet"/>
      <w:lvlText w:val="•"/>
      <w:lvlJc w:val="left"/>
      <w:pPr>
        <w:tabs>
          <w:tab w:val="num" w:pos="4320"/>
        </w:tabs>
        <w:ind w:left="4320" w:hanging="360"/>
      </w:pPr>
      <w:rPr>
        <w:rFonts w:ascii="宋体" w:hAnsi="宋体" w:hint="default"/>
      </w:rPr>
    </w:lvl>
    <w:lvl w:ilvl="6" w:tplc="9698E100" w:tentative="1">
      <w:start w:val="1"/>
      <w:numFmt w:val="bullet"/>
      <w:lvlText w:val="•"/>
      <w:lvlJc w:val="left"/>
      <w:pPr>
        <w:tabs>
          <w:tab w:val="num" w:pos="5040"/>
        </w:tabs>
        <w:ind w:left="5040" w:hanging="360"/>
      </w:pPr>
      <w:rPr>
        <w:rFonts w:ascii="宋体" w:hAnsi="宋体" w:hint="default"/>
      </w:rPr>
    </w:lvl>
    <w:lvl w:ilvl="7" w:tplc="3AF6623E" w:tentative="1">
      <w:start w:val="1"/>
      <w:numFmt w:val="bullet"/>
      <w:lvlText w:val="•"/>
      <w:lvlJc w:val="left"/>
      <w:pPr>
        <w:tabs>
          <w:tab w:val="num" w:pos="5760"/>
        </w:tabs>
        <w:ind w:left="5760" w:hanging="360"/>
      </w:pPr>
      <w:rPr>
        <w:rFonts w:ascii="宋体" w:hAnsi="宋体" w:hint="default"/>
      </w:rPr>
    </w:lvl>
    <w:lvl w:ilvl="8" w:tplc="7DAA6E92"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54C46"/>
    <w:multiLevelType w:val="hybridMultilevel"/>
    <w:tmpl w:val="C17EA8CA"/>
    <w:lvl w:ilvl="0" w:tplc="255699CA">
      <w:start w:val="1"/>
      <w:numFmt w:val="bullet"/>
      <w:lvlText w:val=""/>
      <w:lvlJc w:val="left"/>
      <w:pPr>
        <w:ind w:left="840" w:hanging="420"/>
      </w:pPr>
      <w:rPr>
        <w:rFonts w:ascii="Wingdings" w:hAnsi="Wingdings" w:hint="default"/>
      </w:rPr>
    </w:lvl>
    <w:lvl w:ilvl="1" w:tplc="08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E07CE7"/>
    <w:multiLevelType w:val="hybridMultilevel"/>
    <w:tmpl w:val="EE3E5EB6"/>
    <w:lvl w:ilvl="0" w:tplc="08090001">
      <w:start w:val="1"/>
      <w:numFmt w:val="bullet"/>
      <w:lvlText w:val=""/>
      <w:lvlJc w:val="left"/>
      <w:pPr>
        <w:ind w:left="420" w:hanging="420"/>
      </w:pPr>
      <w:rPr>
        <w:rFonts w:ascii="Symbol" w:hAnsi="Symbol" w:hint="default"/>
      </w:rPr>
    </w:lvl>
    <w:lvl w:ilvl="1" w:tplc="8C980E0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0A4FC2"/>
    <w:multiLevelType w:val="hybridMultilevel"/>
    <w:tmpl w:val="236A0EF6"/>
    <w:lvl w:ilvl="0" w:tplc="656EBCA8">
      <w:start w:val="1"/>
      <w:numFmt w:val="bullet"/>
      <w:lvlText w:val="•"/>
      <w:lvlJc w:val="left"/>
      <w:pPr>
        <w:tabs>
          <w:tab w:val="num" w:pos="720"/>
        </w:tabs>
        <w:ind w:left="720" w:hanging="360"/>
      </w:pPr>
      <w:rPr>
        <w:rFonts w:ascii="宋体" w:hAnsi="宋体" w:hint="default"/>
      </w:rPr>
    </w:lvl>
    <w:lvl w:ilvl="1" w:tplc="0BD42554">
      <w:start w:val="1"/>
      <w:numFmt w:val="bullet"/>
      <w:lvlText w:val="•"/>
      <w:lvlJc w:val="left"/>
      <w:pPr>
        <w:tabs>
          <w:tab w:val="num" w:pos="1440"/>
        </w:tabs>
        <w:ind w:left="1440" w:hanging="360"/>
      </w:pPr>
      <w:rPr>
        <w:rFonts w:ascii="宋体" w:hAnsi="宋体" w:hint="default"/>
      </w:rPr>
    </w:lvl>
    <w:lvl w:ilvl="2" w:tplc="9092A1F4" w:tentative="1">
      <w:start w:val="1"/>
      <w:numFmt w:val="bullet"/>
      <w:lvlText w:val="•"/>
      <w:lvlJc w:val="left"/>
      <w:pPr>
        <w:tabs>
          <w:tab w:val="num" w:pos="2160"/>
        </w:tabs>
        <w:ind w:left="2160" w:hanging="360"/>
      </w:pPr>
      <w:rPr>
        <w:rFonts w:ascii="宋体" w:hAnsi="宋体" w:hint="default"/>
      </w:rPr>
    </w:lvl>
    <w:lvl w:ilvl="3" w:tplc="80D87048" w:tentative="1">
      <w:start w:val="1"/>
      <w:numFmt w:val="bullet"/>
      <w:lvlText w:val="•"/>
      <w:lvlJc w:val="left"/>
      <w:pPr>
        <w:tabs>
          <w:tab w:val="num" w:pos="2880"/>
        </w:tabs>
        <w:ind w:left="2880" w:hanging="360"/>
      </w:pPr>
      <w:rPr>
        <w:rFonts w:ascii="宋体" w:hAnsi="宋体" w:hint="default"/>
      </w:rPr>
    </w:lvl>
    <w:lvl w:ilvl="4" w:tplc="1CD6AA68" w:tentative="1">
      <w:start w:val="1"/>
      <w:numFmt w:val="bullet"/>
      <w:lvlText w:val="•"/>
      <w:lvlJc w:val="left"/>
      <w:pPr>
        <w:tabs>
          <w:tab w:val="num" w:pos="3600"/>
        </w:tabs>
        <w:ind w:left="3600" w:hanging="360"/>
      </w:pPr>
      <w:rPr>
        <w:rFonts w:ascii="宋体" w:hAnsi="宋体" w:hint="default"/>
      </w:rPr>
    </w:lvl>
    <w:lvl w:ilvl="5" w:tplc="E460BEBC" w:tentative="1">
      <w:start w:val="1"/>
      <w:numFmt w:val="bullet"/>
      <w:lvlText w:val="•"/>
      <w:lvlJc w:val="left"/>
      <w:pPr>
        <w:tabs>
          <w:tab w:val="num" w:pos="4320"/>
        </w:tabs>
        <w:ind w:left="4320" w:hanging="360"/>
      </w:pPr>
      <w:rPr>
        <w:rFonts w:ascii="宋体" w:hAnsi="宋体" w:hint="default"/>
      </w:rPr>
    </w:lvl>
    <w:lvl w:ilvl="6" w:tplc="E750A1E4" w:tentative="1">
      <w:start w:val="1"/>
      <w:numFmt w:val="bullet"/>
      <w:lvlText w:val="•"/>
      <w:lvlJc w:val="left"/>
      <w:pPr>
        <w:tabs>
          <w:tab w:val="num" w:pos="5040"/>
        </w:tabs>
        <w:ind w:left="5040" w:hanging="360"/>
      </w:pPr>
      <w:rPr>
        <w:rFonts w:ascii="宋体" w:hAnsi="宋体" w:hint="default"/>
      </w:rPr>
    </w:lvl>
    <w:lvl w:ilvl="7" w:tplc="1F92940A" w:tentative="1">
      <w:start w:val="1"/>
      <w:numFmt w:val="bullet"/>
      <w:lvlText w:val="•"/>
      <w:lvlJc w:val="left"/>
      <w:pPr>
        <w:tabs>
          <w:tab w:val="num" w:pos="5760"/>
        </w:tabs>
        <w:ind w:left="5760" w:hanging="360"/>
      </w:pPr>
      <w:rPr>
        <w:rFonts w:ascii="宋体" w:hAnsi="宋体" w:hint="default"/>
      </w:rPr>
    </w:lvl>
    <w:lvl w:ilvl="8" w:tplc="C644D486"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4E60997"/>
    <w:multiLevelType w:val="hybridMultilevel"/>
    <w:tmpl w:val="4F82926E"/>
    <w:lvl w:ilvl="0" w:tplc="033437C2">
      <w:start w:val="1"/>
      <w:numFmt w:val="bullet"/>
      <w:lvlText w:val="•"/>
      <w:lvlJc w:val="left"/>
      <w:pPr>
        <w:tabs>
          <w:tab w:val="num" w:pos="720"/>
        </w:tabs>
        <w:ind w:left="720" w:hanging="360"/>
      </w:pPr>
      <w:rPr>
        <w:rFonts w:ascii="宋体" w:hAnsi="宋体" w:hint="default"/>
      </w:rPr>
    </w:lvl>
    <w:lvl w:ilvl="1" w:tplc="98B8518A">
      <w:numFmt w:val="bullet"/>
      <w:lvlText w:val="•"/>
      <w:lvlJc w:val="left"/>
      <w:pPr>
        <w:tabs>
          <w:tab w:val="num" w:pos="1440"/>
        </w:tabs>
        <w:ind w:left="1440" w:hanging="360"/>
      </w:pPr>
      <w:rPr>
        <w:rFonts w:ascii="宋体" w:hAnsi="宋体" w:hint="default"/>
      </w:rPr>
    </w:lvl>
    <w:lvl w:ilvl="2" w:tplc="905A5A18">
      <w:numFmt w:val="bullet"/>
      <w:lvlText w:val="•"/>
      <w:lvlJc w:val="left"/>
      <w:pPr>
        <w:tabs>
          <w:tab w:val="num" w:pos="2160"/>
        </w:tabs>
        <w:ind w:left="2160" w:hanging="360"/>
      </w:pPr>
      <w:rPr>
        <w:rFonts w:ascii="宋体" w:hAnsi="宋体" w:hint="default"/>
      </w:rPr>
    </w:lvl>
    <w:lvl w:ilvl="3" w:tplc="A3F2EE76" w:tentative="1">
      <w:start w:val="1"/>
      <w:numFmt w:val="bullet"/>
      <w:lvlText w:val="•"/>
      <w:lvlJc w:val="left"/>
      <w:pPr>
        <w:tabs>
          <w:tab w:val="num" w:pos="2880"/>
        </w:tabs>
        <w:ind w:left="2880" w:hanging="360"/>
      </w:pPr>
      <w:rPr>
        <w:rFonts w:ascii="宋体" w:hAnsi="宋体" w:hint="default"/>
      </w:rPr>
    </w:lvl>
    <w:lvl w:ilvl="4" w:tplc="AA086E9A" w:tentative="1">
      <w:start w:val="1"/>
      <w:numFmt w:val="bullet"/>
      <w:lvlText w:val="•"/>
      <w:lvlJc w:val="left"/>
      <w:pPr>
        <w:tabs>
          <w:tab w:val="num" w:pos="3600"/>
        </w:tabs>
        <w:ind w:left="3600" w:hanging="360"/>
      </w:pPr>
      <w:rPr>
        <w:rFonts w:ascii="宋体" w:hAnsi="宋体" w:hint="default"/>
      </w:rPr>
    </w:lvl>
    <w:lvl w:ilvl="5" w:tplc="718C72BA" w:tentative="1">
      <w:start w:val="1"/>
      <w:numFmt w:val="bullet"/>
      <w:lvlText w:val="•"/>
      <w:lvlJc w:val="left"/>
      <w:pPr>
        <w:tabs>
          <w:tab w:val="num" w:pos="4320"/>
        </w:tabs>
        <w:ind w:left="4320" w:hanging="360"/>
      </w:pPr>
      <w:rPr>
        <w:rFonts w:ascii="宋体" w:hAnsi="宋体" w:hint="default"/>
      </w:rPr>
    </w:lvl>
    <w:lvl w:ilvl="6" w:tplc="B11C1F02" w:tentative="1">
      <w:start w:val="1"/>
      <w:numFmt w:val="bullet"/>
      <w:lvlText w:val="•"/>
      <w:lvlJc w:val="left"/>
      <w:pPr>
        <w:tabs>
          <w:tab w:val="num" w:pos="5040"/>
        </w:tabs>
        <w:ind w:left="5040" w:hanging="360"/>
      </w:pPr>
      <w:rPr>
        <w:rFonts w:ascii="宋体" w:hAnsi="宋体" w:hint="default"/>
      </w:rPr>
    </w:lvl>
    <w:lvl w:ilvl="7" w:tplc="1362DFB0" w:tentative="1">
      <w:start w:val="1"/>
      <w:numFmt w:val="bullet"/>
      <w:lvlText w:val="•"/>
      <w:lvlJc w:val="left"/>
      <w:pPr>
        <w:tabs>
          <w:tab w:val="num" w:pos="5760"/>
        </w:tabs>
        <w:ind w:left="5760" w:hanging="360"/>
      </w:pPr>
      <w:rPr>
        <w:rFonts w:ascii="宋体" w:hAnsi="宋体" w:hint="default"/>
      </w:rPr>
    </w:lvl>
    <w:lvl w:ilvl="8" w:tplc="275C76AC"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27"/>
  </w:num>
  <w:num w:numId="2">
    <w:abstractNumId w:val="23"/>
  </w:num>
  <w:num w:numId="3">
    <w:abstractNumId w:val="17"/>
  </w:num>
  <w:num w:numId="4">
    <w:abstractNumId w:val="18"/>
  </w:num>
  <w:num w:numId="5">
    <w:abstractNumId w:val="25"/>
  </w:num>
  <w:num w:numId="6">
    <w:abstractNumId w:val="1"/>
  </w:num>
  <w:num w:numId="7">
    <w:abstractNumId w:val="4"/>
  </w:num>
  <w:num w:numId="8">
    <w:abstractNumId w:val="19"/>
  </w:num>
  <w:num w:numId="9">
    <w:abstractNumId w:val="2"/>
  </w:num>
  <w:num w:numId="10">
    <w:abstractNumId w:val="26"/>
  </w:num>
  <w:num w:numId="11">
    <w:abstractNumId w:val="24"/>
  </w:num>
  <w:num w:numId="12">
    <w:abstractNumId w:val="8"/>
  </w:num>
  <w:num w:numId="13">
    <w:abstractNumId w:val="26"/>
  </w:num>
  <w:num w:numId="14">
    <w:abstractNumId w:val="7"/>
  </w:num>
  <w:num w:numId="15">
    <w:abstractNumId w:val="27"/>
  </w:num>
  <w:num w:numId="16">
    <w:abstractNumId w:val="27"/>
  </w:num>
  <w:num w:numId="17">
    <w:abstractNumId w:val="0"/>
  </w:num>
  <w:num w:numId="18">
    <w:abstractNumId w:val="10"/>
  </w:num>
  <w:num w:numId="19">
    <w:abstractNumId w:val="21"/>
  </w:num>
  <w:num w:numId="20">
    <w:abstractNumId w:val="13"/>
  </w:num>
  <w:num w:numId="21">
    <w:abstractNumId w:val="15"/>
  </w:num>
  <w:num w:numId="22">
    <w:abstractNumId w:val="9"/>
  </w:num>
  <w:num w:numId="23">
    <w:abstractNumId w:val="6"/>
  </w:num>
  <w:num w:numId="24">
    <w:abstractNumId w:val="22"/>
  </w:num>
  <w:num w:numId="25">
    <w:abstractNumId w:val="11"/>
  </w:num>
  <w:num w:numId="26">
    <w:abstractNumId w:val="5"/>
  </w:num>
  <w:num w:numId="27">
    <w:abstractNumId w:val="14"/>
  </w:num>
  <w:num w:numId="28">
    <w:abstractNumId w:val="3"/>
  </w:num>
  <w:num w:numId="29">
    <w:abstractNumId w:val="20"/>
  </w:num>
  <w:num w:numId="30">
    <w:abstractNumId w:val="16"/>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18DA"/>
    <w:rsid w:val="00034A97"/>
    <w:rsid w:val="00036A06"/>
    <w:rsid w:val="00041B22"/>
    <w:rsid w:val="00051762"/>
    <w:rsid w:val="00055711"/>
    <w:rsid w:val="00057BFC"/>
    <w:rsid w:val="0006449C"/>
    <w:rsid w:val="00070463"/>
    <w:rsid w:val="000716C6"/>
    <w:rsid w:val="000722CC"/>
    <w:rsid w:val="00072D64"/>
    <w:rsid w:val="00072DF3"/>
    <w:rsid w:val="00076628"/>
    <w:rsid w:val="00076BB3"/>
    <w:rsid w:val="000771DC"/>
    <w:rsid w:val="00080456"/>
    <w:rsid w:val="000823B4"/>
    <w:rsid w:val="000830D9"/>
    <w:rsid w:val="0008495A"/>
    <w:rsid w:val="00084A0A"/>
    <w:rsid w:val="00085B4A"/>
    <w:rsid w:val="000901B7"/>
    <w:rsid w:val="00090FEC"/>
    <w:rsid w:val="000946FA"/>
    <w:rsid w:val="000B3169"/>
    <w:rsid w:val="000B3B28"/>
    <w:rsid w:val="000D163E"/>
    <w:rsid w:val="000D303C"/>
    <w:rsid w:val="000D3115"/>
    <w:rsid w:val="000D3A8A"/>
    <w:rsid w:val="000D645A"/>
    <w:rsid w:val="000E6172"/>
    <w:rsid w:val="000F428C"/>
    <w:rsid w:val="000F6FE6"/>
    <w:rsid w:val="00101ACC"/>
    <w:rsid w:val="00103928"/>
    <w:rsid w:val="0011076E"/>
    <w:rsid w:val="00111E67"/>
    <w:rsid w:val="0012385A"/>
    <w:rsid w:val="001260EF"/>
    <w:rsid w:val="001271F7"/>
    <w:rsid w:val="00127301"/>
    <w:rsid w:val="00137E62"/>
    <w:rsid w:val="001403B8"/>
    <w:rsid w:val="001452D7"/>
    <w:rsid w:val="00146468"/>
    <w:rsid w:val="001478E9"/>
    <w:rsid w:val="001512ED"/>
    <w:rsid w:val="00151959"/>
    <w:rsid w:val="0015540D"/>
    <w:rsid w:val="00157598"/>
    <w:rsid w:val="0016362E"/>
    <w:rsid w:val="001644B9"/>
    <w:rsid w:val="0016695D"/>
    <w:rsid w:val="00167860"/>
    <w:rsid w:val="001754BF"/>
    <w:rsid w:val="0017577F"/>
    <w:rsid w:val="001779A3"/>
    <w:rsid w:val="001800C7"/>
    <w:rsid w:val="00180A67"/>
    <w:rsid w:val="00182726"/>
    <w:rsid w:val="0018503A"/>
    <w:rsid w:val="001858A6"/>
    <w:rsid w:val="00187ADE"/>
    <w:rsid w:val="001950FB"/>
    <w:rsid w:val="00195347"/>
    <w:rsid w:val="0019572A"/>
    <w:rsid w:val="001A0C83"/>
    <w:rsid w:val="001A1790"/>
    <w:rsid w:val="001B142A"/>
    <w:rsid w:val="001B3C99"/>
    <w:rsid w:val="001B591F"/>
    <w:rsid w:val="001B69EE"/>
    <w:rsid w:val="001B6E2C"/>
    <w:rsid w:val="001B756E"/>
    <w:rsid w:val="001C2469"/>
    <w:rsid w:val="001C5EDF"/>
    <w:rsid w:val="001C641D"/>
    <w:rsid w:val="001C6C9A"/>
    <w:rsid w:val="001D0568"/>
    <w:rsid w:val="001D0D2B"/>
    <w:rsid w:val="001D2134"/>
    <w:rsid w:val="001D25D7"/>
    <w:rsid w:val="001D3303"/>
    <w:rsid w:val="001D72FE"/>
    <w:rsid w:val="001E4288"/>
    <w:rsid w:val="001E53B1"/>
    <w:rsid w:val="001E5A5D"/>
    <w:rsid w:val="001E6E43"/>
    <w:rsid w:val="001F0095"/>
    <w:rsid w:val="001F0F0B"/>
    <w:rsid w:val="001F2348"/>
    <w:rsid w:val="001F3955"/>
    <w:rsid w:val="001F4117"/>
    <w:rsid w:val="00200158"/>
    <w:rsid w:val="00203D4A"/>
    <w:rsid w:val="00205754"/>
    <w:rsid w:val="00207CF1"/>
    <w:rsid w:val="002127C7"/>
    <w:rsid w:val="00213F00"/>
    <w:rsid w:val="00225425"/>
    <w:rsid w:val="002316C3"/>
    <w:rsid w:val="0023366E"/>
    <w:rsid w:val="00235DBD"/>
    <w:rsid w:val="00241C03"/>
    <w:rsid w:val="00246ADE"/>
    <w:rsid w:val="00251949"/>
    <w:rsid w:val="00253664"/>
    <w:rsid w:val="00255740"/>
    <w:rsid w:val="00256027"/>
    <w:rsid w:val="00261A53"/>
    <w:rsid w:val="002633C6"/>
    <w:rsid w:val="00265CD5"/>
    <w:rsid w:val="00266C33"/>
    <w:rsid w:val="00274F03"/>
    <w:rsid w:val="00280D74"/>
    <w:rsid w:val="00281A5A"/>
    <w:rsid w:val="00283C05"/>
    <w:rsid w:val="00287457"/>
    <w:rsid w:val="00294705"/>
    <w:rsid w:val="002A0259"/>
    <w:rsid w:val="002B3D5A"/>
    <w:rsid w:val="002B6210"/>
    <w:rsid w:val="002B652F"/>
    <w:rsid w:val="002C2EA0"/>
    <w:rsid w:val="002C4CB6"/>
    <w:rsid w:val="002C69F9"/>
    <w:rsid w:val="002D018A"/>
    <w:rsid w:val="002D78EA"/>
    <w:rsid w:val="002E2E0A"/>
    <w:rsid w:val="002E3574"/>
    <w:rsid w:val="002E64BA"/>
    <w:rsid w:val="002F43C6"/>
    <w:rsid w:val="002F45CE"/>
    <w:rsid w:val="002F6F34"/>
    <w:rsid w:val="003009F3"/>
    <w:rsid w:val="00305381"/>
    <w:rsid w:val="00313060"/>
    <w:rsid w:val="0031381D"/>
    <w:rsid w:val="0031548E"/>
    <w:rsid w:val="003178A8"/>
    <w:rsid w:val="00324A56"/>
    <w:rsid w:val="00324CCC"/>
    <w:rsid w:val="00325DFD"/>
    <w:rsid w:val="0032715E"/>
    <w:rsid w:val="00330185"/>
    <w:rsid w:val="003329CE"/>
    <w:rsid w:val="00334367"/>
    <w:rsid w:val="00342670"/>
    <w:rsid w:val="00344062"/>
    <w:rsid w:val="00352437"/>
    <w:rsid w:val="003541F6"/>
    <w:rsid w:val="0035479D"/>
    <w:rsid w:val="00357956"/>
    <w:rsid w:val="003610E0"/>
    <w:rsid w:val="00363A14"/>
    <w:rsid w:val="003663B8"/>
    <w:rsid w:val="003700E4"/>
    <w:rsid w:val="003702DA"/>
    <w:rsid w:val="00375229"/>
    <w:rsid w:val="00376331"/>
    <w:rsid w:val="0038659C"/>
    <w:rsid w:val="003956C0"/>
    <w:rsid w:val="00395926"/>
    <w:rsid w:val="003A351F"/>
    <w:rsid w:val="003A4170"/>
    <w:rsid w:val="003A4595"/>
    <w:rsid w:val="003A4A9D"/>
    <w:rsid w:val="003B0822"/>
    <w:rsid w:val="003B6133"/>
    <w:rsid w:val="003B78F5"/>
    <w:rsid w:val="003C3E26"/>
    <w:rsid w:val="003D3A49"/>
    <w:rsid w:val="003D749A"/>
    <w:rsid w:val="003E1EB2"/>
    <w:rsid w:val="003E6CF6"/>
    <w:rsid w:val="003E741B"/>
    <w:rsid w:val="003E7EFF"/>
    <w:rsid w:val="003F3610"/>
    <w:rsid w:val="003F412B"/>
    <w:rsid w:val="003F5DF5"/>
    <w:rsid w:val="003F6FCE"/>
    <w:rsid w:val="0040099F"/>
    <w:rsid w:val="00400B31"/>
    <w:rsid w:val="004020A1"/>
    <w:rsid w:val="00402EF3"/>
    <w:rsid w:val="0041525E"/>
    <w:rsid w:val="00416279"/>
    <w:rsid w:val="004230BF"/>
    <w:rsid w:val="004263BD"/>
    <w:rsid w:val="00431676"/>
    <w:rsid w:val="00432A04"/>
    <w:rsid w:val="00432A6A"/>
    <w:rsid w:val="0043559C"/>
    <w:rsid w:val="00453EAC"/>
    <w:rsid w:val="00460AAF"/>
    <w:rsid w:val="00461870"/>
    <w:rsid w:val="004659CA"/>
    <w:rsid w:val="00467C66"/>
    <w:rsid w:val="004711BC"/>
    <w:rsid w:val="004718D4"/>
    <w:rsid w:val="00471AA1"/>
    <w:rsid w:val="00480320"/>
    <w:rsid w:val="00480411"/>
    <w:rsid w:val="00485068"/>
    <w:rsid w:val="0048645C"/>
    <w:rsid w:val="00490DAA"/>
    <w:rsid w:val="0049439B"/>
    <w:rsid w:val="004A2AFD"/>
    <w:rsid w:val="004A351E"/>
    <w:rsid w:val="004A3F2B"/>
    <w:rsid w:val="004A6387"/>
    <w:rsid w:val="004C222C"/>
    <w:rsid w:val="004C2277"/>
    <w:rsid w:val="004C51E5"/>
    <w:rsid w:val="004D00B7"/>
    <w:rsid w:val="004D26E8"/>
    <w:rsid w:val="004D3E5E"/>
    <w:rsid w:val="004D4C80"/>
    <w:rsid w:val="004D6569"/>
    <w:rsid w:val="004E1970"/>
    <w:rsid w:val="004E2808"/>
    <w:rsid w:val="004E2E67"/>
    <w:rsid w:val="004E306E"/>
    <w:rsid w:val="004E47B7"/>
    <w:rsid w:val="004F03C7"/>
    <w:rsid w:val="004F4A70"/>
    <w:rsid w:val="005005D9"/>
    <w:rsid w:val="0050330D"/>
    <w:rsid w:val="00505332"/>
    <w:rsid w:val="00516C00"/>
    <w:rsid w:val="005218FD"/>
    <w:rsid w:val="0052273B"/>
    <w:rsid w:val="005248BF"/>
    <w:rsid w:val="005270E7"/>
    <w:rsid w:val="00540F41"/>
    <w:rsid w:val="00541AA0"/>
    <w:rsid w:val="00543855"/>
    <w:rsid w:val="0054389C"/>
    <w:rsid w:val="00545812"/>
    <w:rsid w:val="005511A6"/>
    <w:rsid w:val="00555A95"/>
    <w:rsid w:val="0056020E"/>
    <w:rsid w:val="00562DFE"/>
    <w:rsid w:val="005635E4"/>
    <w:rsid w:val="00563C8B"/>
    <w:rsid w:val="00564C18"/>
    <w:rsid w:val="00566B7A"/>
    <w:rsid w:val="00567A67"/>
    <w:rsid w:val="00567EFB"/>
    <w:rsid w:val="00570005"/>
    <w:rsid w:val="0057452F"/>
    <w:rsid w:val="005835B3"/>
    <w:rsid w:val="005865F0"/>
    <w:rsid w:val="0059161C"/>
    <w:rsid w:val="005A7A53"/>
    <w:rsid w:val="005A7E7C"/>
    <w:rsid w:val="005B1D7D"/>
    <w:rsid w:val="005B210E"/>
    <w:rsid w:val="005B3CDF"/>
    <w:rsid w:val="005B4847"/>
    <w:rsid w:val="005B57EF"/>
    <w:rsid w:val="005B5D35"/>
    <w:rsid w:val="005B76D7"/>
    <w:rsid w:val="005B77A7"/>
    <w:rsid w:val="005C216D"/>
    <w:rsid w:val="005C6153"/>
    <w:rsid w:val="005C6720"/>
    <w:rsid w:val="005C6FA4"/>
    <w:rsid w:val="005C7100"/>
    <w:rsid w:val="005D0746"/>
    <w:rsid w:val="005D3713"/>
    <w:rsid w:val="005D5C17"/>
    <w:rsid w:val="005E081D"/>
    <w:rsid w:val="005F0FC1"/>
    <w:rsid w:val="005F501E"/>
    <w:rsid w:val="005F53F5"/>
    <w:rsid w:val="005F6DF7"/>
    <w:rsid w:val="0060243B"/>
    <w:rsid w:val="006068C7"/>
    <w:rsid w:val="00611B19"/>
    <w:rsid w:val="00613946"/>
    <w:rsid w:val="00615A48"/>
    <w:rsid w:val="00615B8A"/>
    <w:rsid w:val="006165ED"/>
    <w:rsid w:val="006214B2"/>
    <w:rsid w:val="00621DCA"/>
    <w:rsid w:val="006241B7"/>
    <w:rsid w:val="00626CC6"/>
    <w:rsid w:val="0063093D"/>
    <w:rsid w:val="0063287F"/>
    <w:rsid w:val="006367AB"/>
    <w:rsid w:val="006368BE"/>
    <w:rsid w:val="0064419F"/>
    <w:rsid w:val="00647837"/>
    <w:rsid w:val="006530C5"/>
    <w:rsid w:val="006545D4"/>
    <w:rsid w:val="006602E7"/>
    <w:rsid w:val="00661CA0"/>
    <w:rsid w:val="0066419E"/>
    <w:rsid w:val="0067558E"/>
    <w:rsid w:val="006760DE"/>
    <w:rsid w:val="006768EF"/>
    <w:rsid w:val="006803DB"/>
    <w:rsid w:val="00680EDB"/>
    <w:rsid w:val="00680FF7"/>
    <w:rsid w:val="00685EFE"/>
    <w:rsid w:val="00687E6B"/>
    <w:rsid w:val="00697605"/>
    <w:rsid w:val="006A3518"/>
    <w:rsid w:val="006A69F0"/>
    <w:rsid w:val="006C49CF"/>
    <w:rsid w:val="006D677D"/>
    <w:rsid w:val="006D7986"/>
    <w:rsid w:val="006E04B2"/>
    <w:rsid w:val="006E4394"/>
    <w:rsid w:val="007000C2"/>
    <w:rsid w:val="007001B3"/>
    <w:rsid w:val="00700B22"/>
    <w:rsid w:val="007035A3"/>
    <w:rsid w:val="007039C2"/>
    <w:rsid w:val="00704E0D"/>
    <w:rsid w:val="007055B2"/>
    <w:rsid w:val="007070F1"/>
    <w:rsid w:val="0071642C"/>
    <w:rsid w:val="007177E8"/>
    <w:rsid w:val="007213C7"/>
    <w:rsid w:val="00722233"/>
    <w:rsid w:val="0072431E"/>
    <w:rsid w:val="00731B08"/>
    <w:rsid w:val="00731CC2"/>
    <w:rsid w:val="00745132"/>
    <w:rsid w:val="007463FE"/>
    <w:rsid w:val="007502C1"/>
    <w:rsid w:val="00752A0E"/>
    <w:rsid w:val="0075409F"/>
    <w:rsid w:val="0075508D"/>
    <w:rsid w:val="00756907"/>
    <w:rsid w:val="00762B01"/>
    <w:rsid w:val="00774CC0"/>
    <w:rsid w:val="0077510E"/>
    <w:rsid w:val="00775CBB"/>
    <w:rsid w:val="00780FFB"/>
    <w:rsid w:val="0078135A"/>
    <w:rsid w:val="00792951"/>
    <w:rsid w:val="007962F9"/>
    <w:rsid w:val="007978E0"/>
    <w:rsid w:val="007A6A3C"/>
    <w:rsid w:val="007A7534"/>
    <w:rsid w:val="007B37C0"/>
    <w:rsid w:val="007B6667"/>
    <w:rsid w:val="007C0763"/>
    <w:rsid w:val="007C69C8"/>
    <w:rsid w:val="007D0DA0"/>
    <w:rsid w:val="007D329A"/>
    <w:rsid w:val="007E0B08"/>
    <w:rsid w:val="007E73A7"/>
    <w:rsid w:val="007E7AAB"/>
    <w:rsid w:val="007F18A8"/>
    <w:rsid w:val="007F5703"/>
    <w:rsid w:val="007F60D1"/>
    <w:rsid w:val="0080081A"/>
    <w:rsid w:val="0080162C"/>
    <w:rsid w:val="00803D9E"/>
    <w:rsid w:val="00806B88"/>
    <w:rsid w:val="008104F7"/>
    <w:rsid w:val="0082167B"/>
    <w:rsid w:val="00822175"/>
    <w:rsid w:val="00824894"/>
    <w:rsid w:val="00826A07"/>
    <w:rsid w:val="00832A81"/>
    <w:rsid w:val="00836272"/>
    <w:rsid w:val="00841157"/>
    <w:rsid w:val="00841D35"/>
    <w:rsid w:val="00842FA7"/>
    <w:rsid w:val="00845D5C"/>
    <w:rsid w:val="00846CC4"/>
    <w:rsid w:val="00854A8B"/>
    <w:rsid w:val="008630DE"/>
    <w:rsid w:val="00864C17"/>
    <w:rsid w:val="00873E40"/>
    <w:rsid w:val="008753BF"/>
    <w:rsid w:val="00881233"/>
    <w:rsid w:val="0088218C"/>
    <w:rsid w:val="0088256F"/>
    <w:rsid w:val="008827F1"/>
    <w:rsid w:val="00883B49"/>
    <w:rsid w:val="008909CB"/>
    <w:rsid w:val="00892B67"/>
    <w:rsid w:val="00893262"/>
    <w:rsid w:val="00894ED7"/>
    <w:rsid w:val="008960A9"/>
    <w:rsid w:val="00896E69"/>
    <w:rsid w:val="008A29EE"/>
    <w:rsid w:val="008A50A9"/>
    <w:rsid w:val="008A6635"/>
    <w:rsid w:val="008A7CA1"/>
    <w:rsid w:val="008B5966"/>
    <w:rsid w:val="008B68C3"/>
    <w:rsid w:val="008C3B63"/>
    <w:rsid w:val="008D005F"/>
    <w:rsid w:val="008D157F"/>
    <w:rsid w:val="008D26B8"/>
    <w:rsid w:val="008D6E7B"/>
    <w:rsid w:val="008E6AAE"/>
    <w:rsid w:val="008F2E97"/>
    <w:rsid w:val="008F3A64"/>
    <w:rsid w:val="008F3AB1"/>
    <w:rsid w:val="0090090C"/>
    <w:rsid w:val="009009A0"/>
    <w:rsid w:val="00904A36"/>
    <w:rsid w:val="00905382"/>
    <w:rsid w:val="009071B7"/>
    <w:rsid w:val="009072EE"/>
    <w:rsid w:val="00907687"/>
    <w:rsid w:val="00914480"/>
    <w:rsid w:val="0091493C"/>
    <w:rsid w:val="00923785"/>
    <w:rsid w:val="00923E60"/>
    <w:rsid w:val="00927F9D"/>
    <w:rsid w:val="00932988"/>
    <w:rsid w:val="0093470E"/>
    <w:rsid w:val="009416DA"/>
    <w:rsid w:val="009509D5"/>
    <w:rsid w:val="009511F8"/>
    <w:rsid w:val="00951C40"/>
    <w:rsid w:val="00952126"/>
    <w:rsid w:val="009550E0"/>
    <w:rsid w:val="009609DE"/>
    <w:rsid w:val="00963620"/>
    <w:rsid w:val="00964B17"/>
    <w:rsid w:val="009650A8"/>
    <w:rsid w:val="00966B00"/>
    <w:rsid w:val="00982553"/>
    <w:rsid w:val="0098364F"/>
    <w:rsid w:val="009847E0"/>
    <w:rsid w:val="00984BF7"/>
    <w:rsid w:val="009852F7"/>
    <w:rsid w:val="00996ED8"/>
    <w:rsid w:val="00997C51"/>
    <w:rsid w:val="009A39AF"/>
    <w:rsid w:val="009A5201"/>
    <w:rsid w:val="009A671F"/>
    <w:rsid w:val="009A7035"/>
    <w:rsid w:val="009B205D"/>
    <w:rsid w:val="009C3A04"/>
    <w:rsid w:val="009C4366"/>
    <w:rsid w:val="009E04F6"/>
    <w:rsid w:val="009E4215"/>
    <w:rsid w:val="009E5CF4"/>
    <w:rsid w:val="009E758C"/>
    <w:rsid w:val="009F5ACB"/>
    <w:rsid w:val="009F669E"/>
    <w:rsid w:val="009F680C"/>
    <w:rsid w:val="009F697A"/>
    <w:rsid w:val="00A0128E"/>
    <w:rsid w:val="00A01E51"/>
    <w:rsid w:val="00A0733E"/>
    <w:rsid w:val="00A11EC7"/>
    <w:rsid w:val="00A16533"/>
    <w:rsid w:val="00A16F00"/>
    <w:rsid w:val="00A178CE"/>
    <w:rsid w:val="00A2027E"/>
    <w:rsid w:val="00A22990"/>
    <w:rsid w:val="00A276D7"/>
    <w:rsid w:val="00A3188C"/>
    <w:rsid w:val="00A3385B"/>
    <w:rsid w:val="00A33A69"/>
    <w:rsid w:val="00A3606C"/>
    <w:rsid w:val="00A44F96"/>
    <w:rsid w:val="00A461D3"/>
    <w:rsid w:val="00A53958"/>
    <w:rsid w:val="00A56AA6"/>
    <w:rsid w:val="00A6245E"/>
    <w:rsid w:val="00A63B54"/>
    <w:rsid w:val="00A72117"/>
    <w:rsid w:val="00A7419E"/>
    <w:rsid w:val="00A75BEB"/>
    <w:rsid w:val="00A80D5B"/>
    <w:rsid w:val="00A81203"/>
    <w:rsid w:val="00A855D3"/>
    <w:rsid w:val="00A915F9"/>
    <w:rsid w:val="00A91AED"/>
    <w:rsid w:val="00A968A5"/>
    <w:rsid w:val="00AA4AB5"/>
    <w:rsid w:val="00AB52AA"/>
    <w:rsid w:val="00AB5C62"/>
    <w:rsid w:val="00AB75B8"/>
    <w:rsid w:val="00AC0425"/>
    <w:rsid w:val="00AC175E"/>
    <w:rsid w:val="00AC18ED"/>
    <w:rsid w:val="00AC19BA"/>
    <w:rsid w:val="00AC3974"/>
    <w:rsid w:val="00AC68BC"/>
    <w:rsid w:val="00AD7B65"/>
    <w:rsid w:val="00AD7C58"/>
    <w:rsid w:val="00AF1A97"/>
    <w:rsid w:val="00AF3D27"/>
    <w:rsid w:val="00AF4DD5"/>
    <w:rsid w:val="00AF5BDC"/>
    <w:rsid w:val="00AF6FB1"/>
    <w:rsid w:val="00B03C1E"/>
    <w:rsid w:val="00B148C0"/>
    <w:rsid w:val="00B174EE"/>
    <w:rsid w:val="00B22A04"/>
    <w:rsid w:val="00B22C85"/>
    <w:rsid w:val="00B236AD"/>
    <w:rsid w:val="00B24E9C"/>
    <w:rsid w:val="00B25431"/>
    <w:rsid w:val="00B27573"/>
    <w:rsid w:val="00B34EFB"/>
    <w:rsid w:val="00B4430F"/>
    <w:rsid w:val="00B4742F"/>
    <w:rsid w:val="00B51B5D"/>
    <w:rsid w:val="00B52896"/>
    <w:rsid w:val="00B52EFA"/>
    <w:rsid w:val="00B54874"/>
    <w:rsid w:val="00B548A8"/>
    <w:rsid w:val="00B55908"/>
    <w:rsid w:val="00B601E3"/>
    <w:rsid w:val="00B61F3B"/>
    <w:rsid w:val="00B64F5F"/>
    <w:rsid w:val="00B65FF1"/>
    <w:rsid w:val="00B73A43"/>
    <w:rsid w:val="00B75541"/>
    <w:rsid w:val="00B758E0"/>
    <w:rsid w:val="00B75C07"/>
    <w:rsid w:val="00B76E6F"/>
    <w:rsid w:val="00B77780"/>
    <w:rsid w:val="00B877C2"/>
    <w:rsid w:val="00B87C96"/>
    <w:rsid w:val="00B9248B"/>
    <w:rsid w:val="00B9324E"/>
    <w:rsid w:val="00B96D2F"/>
    <w:rsid w:val="00BA0ADE"/>
    <w:rsid w:val="00BA173C"/>
    <w:rsid w:val="00BA218D"/>
    <w:rsid w:val="00BA5919"/>
    <w:rsid w:val="00BB7EFC"/>
    <w:rsid w:val="00BC06A8"/>
    <w:rsid w:val="00BD2CFC"/>
    <w:rsid w:val="00BD4D65"/>
    <w:rsid w:val="00BE3F60"/>
    <w:rsid w:val="00BF0103"/>
    <w:rsid w:val="00BF247C"/>
    <w:rsid w:val="00BF3D60"/>
    <w:rsid w:val="00BF4A92"/>
    <w:rsid w:val="00BF58DB"/>
    <w:rsid w:val="00C032FD"/>
    <w:rsid w:val="00C03E9D"/>
    <w:rsid w:val="00C066E3"/>
    <w:rsid w:val="00C116C7"/>
    <w:rsid w:val="00C13829"/>
    <w:rsid w:val="00C13FAF"/>
    <w:rsid w:val="00C154EE"/>
    <w:rsid w:val="00C17DEF"/>
    <w:rsid w:val="00C21AD5"/>
    <w:rsid w:val="00C21ECC"/>
    <w:rsid w:val="00C239B6"/>
    <w:rsid w:val="00C26A62"/>
    <w:rsid w:val="00C27F7E"/>
    <w:rsid w:val="00C3220A"/>
    <w:rsid w:val="00C35A65"/>
    <w:rsid w:val="00C436FD"/>
    <w:rsid w:val="00C43AAE"/>
    <w:rsid w:val="00C4446F"/>
    <w:rsid w:val="00C517ED"/>
    <w:rsid w:val="00C54DD5"/>
    <w:rsid w:val="00C55896"/>
    <w:rsid w:val="00C60F32"/>
    <w:rsid w:val="00C6282E"/>
    <w:rsid w:val="00C74BE6"/>
    <w:rsid w:val="00C77A85"/>
    <w:rsid w:val="00C818FA"/>
    <w:rsid w:val="00C82841"/>
    <w:rsid w:val="00C86F2F"/>
    <w:rsid w:val="00C91EE0"/>
    <w:rsid w:val="00C92400"/>
    <w:rsid w:val="00CA279C"/>
    <w:rsid w:val="00CB0B90"/>
    <w:rsid w:val="00CB1A96"/>
    <w:rsid w:val="00CB5FCE"/>
    <w:rsid w:val="00CB68C6"/>
    <w:rsid w:val="00CC3632"/>
    <w:rsid w:val="00CD1D0C"/>
    <w:rsid w:val="00CD327E"/>
    <w:rsid w:val="00CD3E01"/>
    <w:rsid w:val="00CD4A10"/>
    <w:rsid w:val="00CD58DB"/>
    <w:rsid w:val="00CD5CA6"/>
    <w:rsid w:val="00CE3D40"/>
    <w:rsid w:val="00CE592D"/>
    <w:rsid w:val="00CE747B"/>
    <w:rsid w:val="00CF0440"/>
    <w:rsid w:val="00CF0D3A"/>
    <w:rsid w:val="00CF2402"/>
    <w:rsid w:val="00CF6CE4"/>
    <w:rsid w:val="00D03558"/>
    <w:rsid w:val="00D05253"/>
    <w:rsid w:val="00D11874"/>
    <w:rsid w:val="00D17B1A"/>
    <w:rsid w:val="00D20A67"/>
    <w:rsid w:val="00D222EE"/>
    <w:rsid w:val="00D4283A"/>
    <w:rsid w:val="00D45F3D"/>
    <w:rsid w:val="00D478B9"/>
    <w:rsid w:val="00D522CA"/>
    <w:rsid w:val="00D52CF3"/>
    <w:rsid w:val="00D5302D"/>
    <w:rsid w:val="00D54011"/>
    <w:rsid w:val="00D552EC"/>
    <w:rsid w:val="00D569C4"/>
    <w:rsid w:val="00D57797"/>
    <w:rsid w:val="00D64D77"/>
    <w:rsid w:val="00D652BD"/>
    <w:rsid w:val="00D65425"/>
    <w:rsid w:val="00D70F6B"/>
    <w:rsid w:val="00D749FA"/>
    <w:rsid w:val="00D74C42"/>
    <w:rsid w:val="00D77DD1"/>
    <w:rsid w:val="00D80C09"/>
    <w:rsid w:val="00D81433"/>
    <w:rsid w:val="00D82DEC"/>
    <w:rsid w:val="00D83C1B"/>
    <w:rsid w:val="00D851E7"/>
    <w:rsid w:val="00D927C9"/>
    <w:rsid w:val="00D92E42"/>
    <w:rsid w:val="00D9347C"/>
    <w:rsid w:val="00D936E8"/>
    <w:rsid w:val="00D946C3"/>
    <w:rsid w:val="00D94809"/>
    <w:rsid w:val="00D949D2"/>
    <w:rsid w:val="00D95842"/>
    <w:rsid w:val="00D96A56"/>
    <w:rsid w:val="00D9704C"/>
    <w:rsid w:val="00D97A9F"/>
    <w:rsid w:val="00DB0D39"/>
    <w:rsid w:val="00DB14D4"/>
    <w:rsid w:val="00DB2BE3"/>
    <w:rsid w:val="00DB41D3"/>
    <w:rsid w:val="00DB6756"/>
    <w:rsid w:val="00DB6986"/>
    <w:rsid w:val="00DB6C34"/>
    <w:rsid w:val="00DC2C34"/>
    <w:rsid w:val="00DC700A"/>
    <w:rsid w:val="00DD2A2B"/>
    <w:rsid w:val="00DE3D3B"/>
    <w:rsid w:val="00DE776A"/>
    <w:rsid w:val="00DF357B"/>
    <w:rsid w:val="00DF3A0A"/>
    <w:rsid w:val="00DF5B2C"/>
    <w:rsid w:val="00DF69B2"/>
    <w:rsid w:val="00DF6BEA"/>
    <w:rsid w:val="00E01BE3"/>
    <w:rsid w:val="00E01E1C"/>
    <w:rsid w:val="00E1071A"/>
    <w:rsid w:val="00E10A8E"/>
    <w:rsid w:val="00E11090"/>
    <w:rsid w:val="00E17100"/>
    <w:rsid w:val="00E22AFE"/>
    <w:rsid w:val="00E22C6D"/>
    <w:rsid w:val="00E30C5D"/>
    <w:rsid w:val="00E31770"/>
    <w:rsid w:val="00E34795"/>
    <w:rsid w:val="00E34DC9"/>
    <w:rsid w:val="00E416AF"/>
    <w:rsid w:val="00E44384"/>
    <w:rsid w:val="00E479CC"/>
    <w:rsid w:val="00E47C16"/>
    <w:rsid w:val="00E60F11"/>
    <w:rsid w:val="00E61526"/>
    <w:rsid w:val="00E6183C"/>
    <w:rsid w:val="00E6700D"/>
    <w:rsid w:val="00E70C68"/>
    <w:rsid w:val="00E74179"/>
    <w:rsid w:val="00E80307"/>
    <w:rsid w:val="00E84287"/>
    <w:rsid w:val="00E84ABF"/>
    <w:rsid w:val="00E86DEE"/>
    <w:rsid w:val="00E877E6"/>
    <w:rsid w:val="00E87B0B"/>
    <w:rsid w:val="00E92811"/>
    <w:rsid w:val="00E932CE"/>
    <w:rsid w:val="00E9336C"/>
    <w:rsid w:val="00E95DD2"/>
    <w:rsid w:val="00E95EBA"/>
    <w:rsid w:val="00EA3D78"/>
    <w:rsid w:val="00EA75AF"/>
    <w:rsid w:val="00EB588E"/>
    <w:rsid w:val="00EB6560"/>
    <w:rsid w:val="00EC1568"/>
    <w:rsid w:val="00EC380E"/>
    <w:rsid w:val="00EC4372"/>
    <w:rsid w:val="00EC5D81"/>
    <w:rsid w:val="00ED0473"/>
    <w:rsid w:val="00ED3BD6"/>
    <w:rsid w:val="00EE11F7"/>
    <w:rsid w:val="00EF1C76"/>
    <w:rsid w:val="00EF26E7"/>
    <w:rsid w:val="00EF53FC"/>
    <w:rsid w:val="00EF6546"/>
    <w:rsid w:val="00EF7E88"/>
    <w:rsid w:val="00EF7F4C"/>
    <w:rsid w:val="00F0273A"/>
    <w:rsid w:val="00F03B58"/>
    <w:rsid w:val="00F04FD4"/>
    <w:rsid w:val="00F1014E"/>
    <w:rsid w:val="00F11530"/>
    <w:rsid w:val="00F14533"/>
    <w:rsid w:val="00F148D7"/>
    <w:rsid w:val="00F16A5B"/>
    <w:rsid w:val="00F24C4C"/>
    <w:rsid w:val="00F255DC"/>
    <w:rsid w:val="00F26184"/>
    <w:rsid w:val="00F301DE"/>
    <w:rsid w:val="00F34E17"/>
    <w:rsid w:val="00F4418F"/>
    <w:rsid w:val="00F46D95"/>
    <w:rsid w:val="00F51558"/>
    <w:rsid w:val="00F53185"/>
    <w:rsid w:val="00F5387F"/>
    <w:rsid w:val="00F553CF"/>
    <w:rsid w:val="00F6033B"/>
    <w:rsid w:val="00F643FD"/>
    <w:rsid w:val="00F65C96"/>
    <w:rsid w:val="00F81DBD"/>
    <w:rsid w:val="00F82516"/>
    <w:rsid w:val="00F8574E"/>
    <w:rsid w:val="00F93929"/>
    <w:rsid w:val="00F94AD5"/>
    <w:rsid w:val="00F977A9"/>
    <w:rsid w:val="00FA260D"/>
    <w:rsid w:val="00FA3E7F"/>
    <w:rsid w:val="00FA48EC"/>
    <w:rsid w:val="00FB2E57"/>
    <w:rsid w:val="00FB49D0"/>
    <w:rsid w:val="00FB5FD7"/>
    <w:rsid w:val="00FC2171"/>
    <w:rsid w:val="00FE10A3"/>
    <w:rsid w:val="00FE4D6A"/>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CE455"/>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styleId="af0">
    <w:name w:val="Hyperlink"/>
    <w:uiPriority w:val="99"/>
    <w:unhideWhenUsed/>
    <w:rsid w:val="0019572A"/>
    <w:rPr>
      <w:color w:val="0000FF"/>
      <w:u w:val="single"/>
    </w:rPr>
  </w:style>
  <w:style w:type="paragraph" w:styleId="af1">
    <w:name w:val="Title"/>
    <w:basedOn w:val="a"/>
    <w:next w:val="a"/>
    <w:link w:val="af2"/>
    <w:uiPriority w:val="10"/>
    <w:qFormat/>
    <w:rsid w:val="0019572A"/>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2">
    <w:name w:val="标题 字符"/>
    <w:basedOn w:val="a0"/>
    <w:link w:val="af1"/>
    <w:uiPriority w:val="10"/>
    <w:rsid w:val="0019572A"/>
    <w:rPr>
      <w:rFonts w:ascii="Arial" w:eastAsia="Times New Roman" w:hAnsi="Arial" w:cs="Arial"/>
      <w:b/>
      <w:bCs/>
      <w:kern w:val="28"/>
      <w:sz w:val="20"/>
      <w:szCs w:val="20"/>
      <w:lang w:val="en-GB" w:eastAsia="en-US"/>
    </w:rPr>
  </w:style>
  <w:style w:type="paragraph" w:customStyle="1" w:styleId="Source">
    <w:name w:val="Source"/>
    <w:basedOn w:val="a"/>
    <w:rsid w:val="0019572A"/>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19572A"/>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749">
      <w:bodyDiv w:val="1"/>
      <w:marLeft w:val="0"/>
      <w:marRight w:val="0"/>
      <w:marTop w:val="0"/>
      <w:marBottom w:val="0"/>
      <w:divBdr>
        <w:top w:val="none" w:sz="0" w:space="0" w:color="auto"/>
        <w:left w:val="none" w:sz="0" w:space="0" w:color="auto"/>
        <w:bottom w:val="none" w:sz="0" w:space="0" w:color="auto"/>
        <w:right w:val="none" w:sz="0" w:space="0" w:color="auto"/>
      </w:divBdr>
      <w:divsChild>
        <w:div w:id="1321694933">
          <w:marLeft w:val="547"/>
          <w:marRight w:val="0"/>
          <w:marTop w:val="0"/>
          <w:marBottom w:val="0"/>
          <w:divBdr>
            <w:top w:val="none" w:sz="0" w:space="0" w:color="auto"/>
            <w:left w:val="none" w:sz="0" w:space="0" w:color="auto"/>
            <w:bottom w:val="none" w:sz="0" w:space="0" w:color="auto"/>
            <w:right w:val="none" w:sz="0" w:space="0" w:color="auto"/>
          </w:divBdr>
        </w:div>
        <w:div w:id="502429750">
          <w:marLeft w:val="1267"/>
          <w:marRight w:val="0"/>
          <w:marTop w:val="0"/>
          <w:marBottom w:val="0"/>
          <w:divBdr>
            <w:top w:val="none" w:sz="0" w:space="0" w:color="auto"/>
            <w:left w:val="none" w:sz="0" w:space="0" w:color="auto"/>
            <w:bottom w:val="none" w:sz="0" w:space="0" w:color="auto"/>
            <w:right w:val="none" w:sz="0" w:space="0" w:color="auto"/>
          </w:divBdr>
        </w:div>
        <w:div w:id="1541629079">
          <w:marLeft w:val="1267"/>
          <w:marRight w:val="0"/>
          <w:marTop w:val="0"/>
          <w:marBottom w:val="0"/>
          <w:divBdr>
            <w:top w:val="none" w:sz="0" w:space="0" w:color="auto"/>
            <w:left w:val="none" w:sz="0" w:space="0" w:color="auto"/>
            <w:bottom w:val="none" w:sz="0" w:space="0" w:color="auto"/>
            <w:right w:val="none" w:sz="0" w:space="0" w:color="auto"/>
          </w:divBdr>
        </w:div>
        <w:div w:id="669795483">
          <w:marLeft w:val="1987"/>
          <w:marRight w:val="0"/>
          <w:marTop w:val="0"/>
          <w:marBottom w:val="0"/>
          <w:divBdr>
            <w:top w:val="none" w:sz="0" w:space="0" w:color="auto"/>
            <w:left w:val="none" w:sz="0" w:space="0" w:color="auto"/>
            <w:bottom w:val="none" w:sz="0" w:space="0" w:color="auto"/>
            <w:right w:val="none" w:sz="0" w:space="0" w:color="auto"/>
          </w:divBdr>
        </w:div>
        <w:div w:id="849031560">
          <w:marLeft w:val="1267"/>
          <w:marRight w:val="0"/>
          <w:marTop w:val="0"/>
          <w:marBottom w:val="0"/>
          <w:divBdr>
            <w:top w:val="none" w:sz="0" w:space="0" w:color="auto"/>
            <w:left w:val="none" w:sz="0" w:space="0" w:color="auto"/>
            <w:bottom w:val="none" w:sz="0" w:space="0" w:color="auto"/>
            <w:right w:val="none" w:sz="0" w:space="0" w:color="auto"/>
          </w:divBdr>
        </w:div>
        <w:div w:id="546837510">
          <w:marLeft w:val="547"/>
          <w:marRight w:val="0"/>
          <w:marTop w:val="0"/>
          <w:marBottom w:val="0"/>
          <w:divBdr>
            <w:top w:val="none" w:sz="0" w:space="0" w:color="auto"/>
            <w:left w:val="none" w:sz="0" w:space="0" w:color="auto"/>
            <w:bottom w:val="none" w:sz="0" w:space="0" w:color="auto"/>
            <w:right w:val="none" w:sz="0" w:space="0" w:color="auto"/>
          </w:divBdr>
        </w:div>
        <w:div w:id="1923835899">
          <w:marLeft w:val="1267"/>
          <w:marRight w:val="0"/>
          <w:marTop w:val="0"/>
          <w:marBottom w:val="0"/>
          <w:divBdr>
            <w:top w:val="none" w:sz="0" w:space="0" w:color="auto"/>
            <w:left w:val="none" w:sz="0" w:space="0" w:color="auto"/>
            <w:bottom w:val="none" w:sz="0" w:space="0" w:color="auto"/>
            <w:right w:val="none" w:sz="0" w:space="0" w:color="auto"/>
          </w:divBdr>
        </w:div>
        <w:div w:id="1138570370">
          <w:marLeft w:val="1267"/>
          <w:marRight w:val="0"/>
          <w:marTop w:val="0"/>
          <w:marBottom w:val="0"/>
          <w:divBdr>
            <w:top w:val="none" w:sz="0" w:space="0" w:color="auto"/>
            <w:left w:val="none" w:sz="0" w:space="0" w:color="auto"/>
            <w:bottom w:val="none" w:sz="0" w:space="0" w:color="auto"/>
            <w:right w:val="none" w:sz="0" w:space="0" w:color="auto"/>
          </w:divBdr>
        </w:div>
      </w:divsChild>
    </w:div>
    <w:div w:id="74014151">
      <w:bodyDiv w:val="1"/>
      <w:marLeft w:val="0"/>
      <w:marRight w:val="0"/>
      <w:marTop w:val="0"/>
      <w:marBottom w:val="0"/>
      <w:divBdr>
        <w:top w:val="none" w:sz="0" w:space="0" w:color="auto"/>
        <w:left w:val="none" w:sz="0" w:space="0" w:color="auto"/>
        <w:bottom w:val="none" w:sz="0" w:space="0" w:color="auto"/>
        <w:right w:val="none" w:sz="0" w:space="0" w:color="auto"/>
      </w:divBdr>
      <w:divsChild>
        <w:div w:id="1099913139">
          <w:marLeft w:val="893"/>
          <w:marRight w:val="0"/>
          <w:marTop w:val="40"/>
          <w:marBottom w:val="80"/>
          <w:divBdr>
            <w:top w:val="none" w:sz="0" w:space="0" w:color="auto"/>
            <w:left w:val="none" w:sz="0" w:space="0" w:color="auto"/>
            <w:bottom w:val="none" w:sz="0" w:space="0" w:color="auto"/>
            <w:right w:val="none" w:sz="0" w:space="0" w:color="auto"/>
          </w:divBdr>
        </w:div>
      </w:divsChild>
    </w:div>
    <w:div w:id="97607125">
      <w:bodyDiv w:val="1"/>
      <w:marLeft w:val="0"/>
      <w:marRight w:val="0"/>
      <w:marTop w:val="0"/>
      <w:marBottom w:val="0"/>
      <w:divBdr>
        <w:top w:val="none" w:sz="0" w:space="0" w:color="auto"/>
        <w:left w:val="none" w:sz="0" w:space="0" w:color="auto"/>
        <w:bottom w:val="none" w:sz="0" w:space="0" w:color="auto"/>
        <w:right w:val="none" w:sz="0" w:space="0" w:color="auto"/>
      </w:divBdr>
      <w:divsChild>
        <w:div w:id="1348018431">
          <w:marLeft w:val="547"/>
          <w:marRight w:val="0"/>
          <w:marTop w:val="0"/>
          <w:marBottom w:val="0"/>
          <w:divBdr>
            <w:top w:val="none" w:sz="0" w:space="0" w:color="auto"/>
            <w:left w:val="none" w:sz="0" w:space="0" w:color="auto"/>
            <w:bottom w:val="none" w:sz="0" w:space="0" w:color="auto"/>
            <w:right w:val="none" w:sz="0" w:space="0" w:color="auto"/>
          </w:divBdr>
        </w:div>
        <w:div w:id="1450977508">
          <w:marLeft w:val="1267"/>
          <w:marRight w:val="0"/>
          <w:marTop w:val="0"/>
          <w:marBottom w:val="0"/>
          <w:divBdr>
            <w:top w:val="none" w:sz="0" w:space="0" w:color="auto"/>
            <w:left w:val="none" w:sz="0" w:space="0" w:color="auto"/>
            <w:bottom w:val="none" w:sz="0" w:space="0" w:color="auto"/>
            <w:right w:val="none" w:sz="0" w:space="0" w:color="auto"/>
          </w:divBdr>
        </w:div>
        <w:div w:id="487287426">
          <w:marLeft w:val="1267"/>
          <w:marRight w:val="0"/>
          <w:marTop w:val="0"/>
          <w:marBottom w:val="0"/>
          <w:divBdr>
            <w:top w:val="none" w:sz="0" w:space="0" w:color="auto"/>
            <w:left w:val="none" w:sz="0" w:space="0" w:color="auto"/>
            <w:bottom w:val="none" w:sz="0" w:space="0" w:color="auto"/>
            <w:right w:val="none" w:sz="0" w:space="0" w:color="auto"/>
          </w:divBdr>
        </w:div>
        <w:div w:id="1569533042">
          <w:marLeft w:val="1987"/>
          <w:marRight w:val="0"/>
          <w:marTop w:val="0"/>
          <w:marBottom w:val="0"/>
          <w:divBdr>
            <w:top w:val="none" w:sz="0" w:space="0" w:color="auto"/>
            <w:left w:val="none" w:sz="0" w:space="0" w:color="auto"/>
            <w:bottom w:val="none" w:sz="0" w:space="0" w:color="auto"/>
            <w:right w:val="none" w:sz="0" w:space="0" w:color="auto"/>
          </w:divBdr>
        </w:div>
        <w:div w:id="1394618064">
          <w:marLeft w:val="1267"/>
          <w:marRight w:val="0"/>
          <w:marTop w:val="0"/>
          <w:marBottom w:val="0"/>
          <w:divBdr>
            <w:top w:val="none" w:sz="0" w:space="0" w:color="auto"/>
            <w:left w:val="none" w:sz="0" w:space="0" w:color="auto"/>
            <w:bottom w:val="none" w:sz="0" w:space="0" w:color="auto"/>
            <w:right w:val="none" w:sz="0" w:space="0" w:color="auto"/>
          </w:divBdr>
        </w:div>
      </w:divsChild>
    </w:div>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933707391">
      <w:bodyDiv w:val="1"/>
      <w:marLeft w:val="0"/>
      <w:marRight w:val="0"/>
      <w:marTop w:val="0"/>
      <w:marBottom w:val="0"/>
      <w:divBdr>
        <w:top w:val="none" w:sz="0" w:space="0" w:color="auto"/>
        <w:left w:val="none" w:sz="0" w:space="0" w:color="auto"/>
        <w:bottom w:val="none" w:sz="0" w:space="0" w:color="auto"/>
        <w:right w:val="none" w:sz="0" w:space="0" w:color="auto"/>
      </w:divBdr>
      <w:divsChild>
        <w:div w:id="1803689814">
          <w:marLeft w:val="1843"/>
          <w:marRight w:val="0"/>
          <w:marTop w:val="40"/>
          <w:marBottom w:val="8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16651673">
      <w:bodyDiv w:val="1"/>
      <w:marLeft w:val="0"/>
      <w:marRight w:val="0"/>
      <w:marTop w:val="0"/>
      <w:marBottom w:val="0"/>
      <w:divBdr>
        <w:top w:val="none" w:sz="0" w:space="0" w:color="auto"/>
        <w:left w:val="none" w:sz="0" w:space="0" w:color="auto"/>
        <w:bottom w:val="none" w:sz="0" w:space="0" w:color="auto"/>
        <w:right w:val="none" w:sz="0" w:space="0" w:color="auto"/>
      </w:divBdr>
      <w:divsChild>
        <w:div w:id="54158942">
          <w:marLeft w:val="547"/>
          <w:marRight w:val="0"/>
          <w:marTop w:val="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856339075">
      <w:bodyDiv w:val="1"/>
      <w:marLeft w:val="0"/>
      <w:marRight w:val="0"/>
      <w:marTop w:val="0"/>
      <w:marBottom w:val="0"/>
      <w:divBdr>
        <w:top w:val="none" w:sz="0" w:space="0" w:color="auto"/>
        <w:left w:val="none" w:sz="0" w:space="0" w:color="auto"/>
        <w:bottom w:val="none" w:sz="0" w:space="0" w:color="auto"/>
        <w:right w:val="none" w:sz="0" w:space="0" w:color="auto"/>
      </w:divBdr>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 w:id="2095128938">
      <w:bodyDiv w:val="1"/>
      <w:marLeft w:val="0"/>
      <w:marRight w:val="0"/>
      <w:marTop w:val="0"/>
      <w:marBottom w:val="0"/>
      <w:divBdr>
        <w:top w:val="none" w:sz="0" w:space="0" w:color="auto"/>
        <w:left w:val="none" w:sz="0" w:space="0" w:color="auto"/>
        <w:bottom w:val="none" w:sz="0" w:space="0" w:color="auto"/>
        <w:right w:val="none" w:sz="0" w:space="0" w:color="auto"/>
      </w:divBdr>
      <w:divsChild>
        <w:div w:id="1839616791">
          <w:marLeft w:val="547"/>
          <w:marRight w:val="0"/>
          <w:marTop w:val="0"/>
          <w:marBottom w:val="0"/>
          <w:divBdr>
            <w:top w:val="none" w:sz="0" w:space="0" w:color="auto"/>
            <w:left w:val="none" w:sz="0" w:space="0" w:color="auto"/>
            <w:bottom w:val="none" w:sz="0" w:space="0" w:color="auto"/>
            <w:right w:val="none" w:sz="0" w:space="0" w:color="auto"/>
          </w:divBdr>
        </w:div>
        <w:div w:id="154494103">
          <w:marLeft w:val="1267"/>
          <w:marRight w:val="0"/>
          <w:marTop w:val="0"/>
          <w:marBottom w:val="0"/>
          <w:divBdr>
            <w:top w:val="none" w:sz="0" w:space="0" w:color="auto"/>
            <w:left w:val="none" w:sz="0" w:space="0" w:color="auto"/>
            <w:bottom w:val="none" w:sz="0" w:space="0" w:color="auto"/>
            <w:right w:val="none" w:sz="0" w:space="0" w:color="auto"/>
          </w:divBdr>
        </w:div>
        <w:div w:id="439960460">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10C97-16CA-4589-B911-4CDDEFB87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21366</TotalTime>
  <Pages>7</Pages>
  <Words>2329</Words>
  <Characters>13278</Characters>
  <Application>Microsoft Office Word</Application>
  <DocSecurity>0</DocSecurity>
  <Lines>110</Lines>
  <Paragraphs>31</Paragraphs>
  <ScaleCrop>false</ScaleCrop>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276</cp:revision>
  <dcterms:created xsi:type="dcterms:W3CDTF">2021-01-14T12:11:00Z</dcterms:created>
  <dcterms:modified xsi:type="dcterms:W3CDTF">2023-11-03T11:25:00Z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